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 xml:space="preserve">Программа семинара </w:t>
      </w:r>
      <w:r>
        <w:t xml:space="preserve">8 февраля 2018</w:t>
      </w:r>
      <w:r>
        <w:t xml:space="preserve"> года</w:t>
      </w:r>
      <w:r/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W w:w="1000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305"/>
        <w:gridCol w:w="6917"/>
        <w:gridCol w:w="1785"/>
      </w:tblGrid>
      <w:tr>
        <w:trPr>
          <w:trHeight w:val="394"/>
        </w:trPr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9.00-9.30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8702" w:type="dxa"/>
            <w:textDirection w:val="lrTb"/>
            <w:noWrap w:val="false"/>
          </w:tcPr>
          <w:p>
            <w:pPr>
              <w:pStyle w:val="160"/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и регистрация участников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9.30-</w:t>
            </w:r>
            <w:r>
              <w:rPr>
                <w:rFonts w:ascii="Arial" w:hAnsi="Arial" w:cs="Arial"/>
                <w:sz w:val="18"/>
                <w:szCs w:val="18"/>
              </w:rPr>
              <w:t xml:space="preserve">9.50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Введение, общая информация о компании, программа конференции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9.50- 11.2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Анаэробные продукты для фиксации/герметизации резьбовых,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фланцевых и вал-втулочных соединений. Области применения в производстве и ремонте, примеры.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11.2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>
              <w:rPr>
                <w:rFonts w:ascii="Arial" w:hAnsi="Arial" w:cs="Arial"/>
                <w:sz w:val="18"/>
                <w:szCs w:val="18"/>
              </w:rPr>
              <w:t xml:space="preserve">-11.4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Цианоакрилатные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клеи, области применения в производстве и ремонте, примеры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>
          <w:trHeight w:val="210"/>
        </w:trPr>
        <w:tc>
          <w:tcPr>
            <w:shd w:val="clear" w:color="auto" w:fill="auto"/>
            <w:tcBorders>
              <w:left w:val="single" w:color="000000" w:sz="1" w:space="0"/>
              <w:bottom w:val="single" w:sz="4" w:space="0" w:color="auto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11.4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>
              <w:rPr>
                <w:rFonts w:ascii="Arial" w:hAnsi="Arial" w:cs="Arial"/>
                <w:sz w:val="18"/>
                <w:szCs w:val="18"/>
              </w:rPr>
              <w:t xml:space="preserve">-</w:t>
            </w:r>
            <w:r>
              <w:rPr>
                <w:rFonts w:ascii="Arial" w:hAnsi="Arial" w:cs="Arial"/>
                <w:sz w:val="18"/>
                <w:szCs w:val="18"/>
              </w:rPr>
              <w:t xml:space="preserve">12.1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sz="4" w:space="0" w:color="auto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Кофе пауза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sz="4" w:space="0" w:color="auto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/>
            <w:r/>
          </w:p>
        </w:tc>
      </w:tr>
      <w:tr>
        <w:trPr>
          <w:trHeight w:val="652"/>
        </w:trPr>
        <w:tc>
          <w:tcPr>
            <w:shd w:val="clear" w:color="auto" w:fill="auto"/>
            <w:tcBorders>
              <w:left w:val="single" w:color="000000" w:sz="1" w:space="0"/>
              <w:top w:val="single" w:sz="4" w:space="0" w:color="auto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12.10-12.4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sz="4" w:space="0" w:color="auto"/>
              <w:bottom w:val="single" w:sz="4" w:space="0" w:color="auto"/>
            </w:tcBorders>
            <w:tcW w:w="6917" w:type="dxa"/>
            <w:textDirection w:val="lrTb"/>
            <w:noWrap w:val="false"/>
          </w:tcPr>
          <w:p>
            <w:pPr>
              <w:pStyle w:val="16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Акриловые клеи, области применения в производстве и ремонте, примеры.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sz="4" w:space="0" w:color="auto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</w:t>
            </w:r>
            <w:r>
              <w:rPr>
                <w:rFonts w:ascii="Arial" w:hAnsi="Arial" w:cs="Arial"/>
                <w:sz w:val="18"/>
                <w:szCs w:val="18"/>
              </w:rPr>
              <w:t xml:space="preserve">0-</w:t>
            </w:r>
            <w:r>
              <w:rPr>
                <w:rFonts w:ascii="Arial" w:hAnsi="Arial" w:cs="Arial"/>
                <w:sz w:val="18"/>
                <w:szCs w:val="18"/>
              </w:rPr>
              <w:t xml:space="preserve">13.4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sz="4" w:space="0" w:color="auto"/>
              <w:right w:val="single" w:sz="4" w:space="0" w:color="auto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Силиконовые, полиуретановые клеи/герметики, </w:t>
            </w: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  <w:lang w:val="en-US"/>
              </w:rPr>
              <w:t xml:space="preserve">MS</w:t>
            </w: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-</w:t>
            </w: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полимеры, области применения, примеры. </w:t>
            </w:r>
            <w:r/>
          </w:p>
          <w:p>
            <w:pPr>
              <w:pStyle w:val="160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Жесткие полиуретаны, области применения в производстве и ремонте.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rPr>
                <w:lang w:bidi="hi-IN" w:eastAsia="zh-CN"/>
              </w:rPr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>
              <w:rPr>
                <w:lang w:bidi="hi-IN" w:eastAsia="zh-CN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13.40-14.20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sz="4" w:space="0" w:color="auto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обед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14.20</w:t>
            </w:r>
            <w:r>
              <w:rPr>
                <w:rFonts w:ascii="Arial" w:hAnsi="Arial" w:cs="Arial"/>
                <w:sz w:val="18"/>
                <w:szCs w:val="18"/>
              </w:rPr>
              <w:t xml:space="preserve">-</w:t>
            </w:r>
            <w:r>
              <w:rPr>
                <w:rFonts w:ascii="Arial" w:hAnsi="Arial" w:cs="Arial"/>
                <w:sz w:val="18"/>
                <w:szCs w:val="18"/>
              </w:rPr>
              <w:t xml:space="preserve">15.15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Эпоксидные продукты, износостойкие компаунды, технологии ремонта изношенных поверхностей, трубопроводов, корпусов, отливок, полимерное формование фундаментов для монтажа технологического оборудования и т. д. Продукты для ремонта, восстановления и защиты бетона.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15.15-15.40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Смазочные материалы, продукты для защиты сварочного оборудования и изделий от налипания брызг, области применения в ремонте и обслуживании оборудования. </w:t>
            </w:r>
            <w:r/>
          </w:p>
          <w:p>
            <w:pPr>
              <w:pStyle w:val="160"/>
              <w:rPr>
                <w:rStyle w:val="159"/>
                <w:rFonts w:ascii="Arial" w:hAnsi="Arial" w:cs="Arial"/>
                <w:b w:val="false"/>
                <w:bCs w:val="false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Обзор гаммы промышленных очистителей и разделительных составов для изготовления РТИ и изделий из стеклопластика.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30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15.40-17.00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sz="4" w:space="0" w:color="auto"/>
              <w:bottom w:val="single" w:color="000000" w:sz="1" w:space="0"/>
            </w:tcBorders>
            <w:tcW w:w="6917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Круглый стол участников семинара.</w:t>
            </w:r>
            <w:r/>
          </w:p>
          <w:p>
            <w:pPr>
              <w:pStyle w:val="160"/>
            </w:pPr>
            <w:r>
              <w:rPr>
                <w:rFonts w:ascii="Arial" w:hAnsi="Arial" w:cs="Arial"/>
                <w:sz w:val="18"/>
                <w:szCs w:val="18"/>
              </w:rPr>
              <w:t xml:space="preserve">Обсуждение технических вопросов и системы с</w:t>
            </w:r>
            <w:r>
              <w:rPr>
                <w:rFonts w:ascii="Arial" w:hAnsi="Arial" w:cs="Arial"/>
                <w:sz w:val="18"/>
                <w:szCs w:val="18"/>
              </w:rPr>
              <w:t xml:space="preserve">отрудничества с предприятиями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color="000000" w:sz="1" w:space="0"/>
            </w:tcBorders>
            <w:tcW w:w="1785" w:type="dxa"/>
            <w:textDirection w:val="lrTb"/>
            <w:noWrap w:val="false"/>
          </w:tcPr>
          <w:p>
            <w:pPr>
              <w:pStyle w:val="160"/>
            </w:pPr>
            <w:r>
              <w:rPr>
                <w:rStyle w:val="159"/>
                <w:rFonts w:ascii="Arial" w:hAnsi="Arial" w:cs="Arial"/>
                <w:b w:val="false"/>
                <w:bCs w:val="false"/>
                <w:color w:val="000000"/>
                <w:sz w:val="18"/>
                <w:szCs w:val="18"/>
              </w:rPr>
              <w:t xml:space="preserve">В. П. Галахов</w:t>
            </w:r>
            <w:r/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Примечание:</w:t>
      </w:r>
      <w:r/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Конференции ориентирована н</w:t>
      </w:r>
      <w:r>
        <w:rPr>
          <w:rFonts w:ascii="Arial" w:hAnsi="Arial" w:cs="Arial"/>
          <w:sz w:val="20"/>
          <w:szCs w:val="20"/>
        </w:rPr>
        <w:t xml:space="preserve">а руководителей предприятий, гл. </w:t>
      </w:r>
      <w:r>
        <w:rPr>
          <w:rFonts w:ascii="Arial" w:hAnsi="Arial" w:cs="Arial"/>
          <w:sz w:val="20"/>
          <w:szCs w:val="20"/>
        </w:rPr>
        <w:t xml:space="preserve">инженеров, конструкторов, технологов (основное производство, вспомогательное производство, оснастка, технологическое оборудование и т.д.), механиков, энергетиков, металлургов, специалистов по ремонту и обслуживанию промышленного оборудования, механиков автопарков, подвижного состава, специалистов по охране труда, по содержанию строительных конструкций, представителей подрядных организаций и т.д.</w:t>
      </w:r>
      <w:r/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Участие в семинаре </w:t>
      </w:r>
      <w:r>
        <w:rPr>
          <w:rFonts w:ascii="Arial" w:hAnsi="Arial" w:cs="Arial"/>
          <w:b/>
          <w:bCs/>
          <w:sz w:val="22"/>
          <w:szCs w:val="22"/>
        </w:rPr>
        <w:t xml:space="preserve">БЕСПЛАТНОЕ</w:t>
      </w:r>
      <w:r>
        <w:rPr>
          <w:rFonts w:ascii="Arial" w:hAnsi="Arial" w:cs="Arial"/>
          <w:sz w:val="22"/>
          <w:szCs w:val="22"/>
        </w:rPr>
        <w:t xml:space="preserve">. Мы ценим сотрудничество с Вами.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Заявки на участие в семинаре принимаются до </w:t>
      </w:r>
      <w:r>
        <w:rPr>
          <w:rFonts w:ascii="Arial" w:hAnsi="Arial" w:cs="Arial"/>
          <w:sz w:val="22"/>
          <w:szCs w:val="22"/>
        </w:rPr>
        <w:t xml:space="preserve">22 января</w:t>
      </w:r>
      <w:r>
        <w:rPr>
          <w:rFonts w:ascii="Arial" w:hAnsi="Arial" w:cs="Arial"/>
          <w:sz w:val="22"/>
          <w:szCs w:val="22"/>
        </w:rPr>
        <w:t xml:space="preserve"> 2018 года включительно по электронной почте </w:t>
      </w:r>
      <w:r>
        <w:rPr>
          <w:rFonts w:ascii="Arial" w:hAnsi="Arial" w:cs="Arial"/>
          <w:sz w:val="22"/>
          <w:szCs w:val="22"/>
          <w:lang w:val="en-US"/>
        </w:rPr>
        <w:t xml:space="preserve">senina</w:t>
      </w:r>
      <w:r>
        <w:rPr>
          <w:rFonts w:ascii="Arial" w:hAnsi="Arial" w:cs="Arial"/>
          <w:sz w:val="22"/>
          <w:szCs w:val="22"/>
        </w:rPr>
        <w:t xml:space="preserve">@</w:t>
      </w:r>
      <w:r>
        <w:rPr>
          <w:rFonts w:ascii="Arial" w:hAnsi="Arial" w:cs="Arial"/>
          <w:sz w:val="22"/>
          <w:szCs w:val="22"/>
          <w:lang w:val="en-US"/>
        </w:rPr>
        <w:t xml:space="preserve">indprofi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  <w:lang w:val="en-US"/>
        </w:rPr>
        <w:t xml:space="preserve">ru</w:t>
      </w:r>
      <w:r>
        <w:rPr>
          <w:rFonts w:ascii="Arial" w:hAnsi="Arial" w:cs="Arial"/>
          <w:sz w:val="22"/>
          <w:szCs w:val="22"/>
        </w:rPr>
        <w:t xml:space="preserve"> </w:t>
      </w:r>
      <w:r/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Образец заявки: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2955"/>
        <w:gridCol w:w="2310"/>
        <w:gridCol w:w="2160"/>
        <w:gridCol w:w="2582"/>
      </w:tblGrid>
      <w:tr>
        <w:trPr/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955" w:type="dxa"/>
            <w:textDirection w:val="lrTb"/>
            <w:noWrap w:val="false"/>
          </w:tcPr>
          <w:p>
            <w:pPr>
              <w:pStyle w:val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предприятия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310" w:type="dxa"/>
            <w:textDirection w:val="lrTb"/>
            <w:noWrap w:val="false"/>
          </w:tcPr>
          <w:p>
            <w:pPr>
              <w:pStyle w:val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участника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160" w:type="dxa"/>
            <w:textDirection w:val="lrTb"/>
            <w:noWrap w:val="false"/>
          </w:tcPr>
          <w:p>
            <w:pPr>
              <w:pStyle w:val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2582" w:type="dxa"/>
            <w:textDirection w:val="lrTb"/>
            <w:noWrap w:val="false"/>
          </w:tcPr>
          <w:p>
            <w:pPr>
              <w:pStyle w:val="1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Конт. телефон</w:t>
            </w:r>
            <w:r/>
          </w:p>
        </w:tc>
      </w:tr>
      <w:tr>
        <w:trPr>
          <w:trHeight w:val="474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95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310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60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582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955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310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60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582" w:type="dxa"/>
            <w:textDirection w:val="lrTb"/>
            <w:noWrap w:val="false"/>
          </w:tcPr>
          <w:p>
            <w:pPr>
              <w:pStyle w:val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rPr>
          <w:szCs w:val="32"/>
        </w:rPr>
      </w:pPr>
      <w:r>
        <w:rPr>
          <w:szCs w:val="32"/>
        </w:rPr>
      </w:r>
      <w:r/>
    </w:p>
    <w:sectPr>
      <w:headerReference w:type="default" r:id="rId8"/>
      <w:footerReference w:type="default" r:id="rId9"/>
      <w:footnotePr/>
      <w:type w:val="continuous"/>
      <w:pgSz w:w="11907" w:h="16839"/>
      <w:pgMar w:top="1134" w:right="851" w:bottom="567" w:left="1134" w:gutter="0" w:header="425" w:footer="307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onsolas">
    <w:panose1 w:val="020B0609020204030204"/>
  </w:font>
  <w:font w:name="Courier New">
    <w:panose1 w:val="02070309020205020404"/>
  </w:font>
  <w:font w:name="FreeSans">
    <w:panose1 w:val="020B060402020202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9"/>
      <w:jc w:val="center"/>
      <w:rPr>
        <w:color w:val="FF0000"/>
        <w:sz w:val="20"/>
        <w:szCs w:val="20"/>
      </w:rPr>
    </w:pPr>
    <w:r>
      <w:rPr>
        <w:rFonts w:cs="Calibri"/>
        <w:color w:val="FF0000"/>
        <w:sz w:val="20"/>
        <w:szCs w:val="20"/>
      </w:rPr>
      <w:t xml:space="preserve">ООО «</w:t>
    </w:r>
    <w:r>
      <w:rPr>
        <w:rFonts w:cs="Calibri"/>
        <w:color w:val="FF0000"/>
        <w:sz w:val="20"/>
        <w:szCs w:val="20"/>
      </w:rPr>
      <w:t xml:space="preserve">Индэкс</w:t>
    </w:r>
    <w:r>
      <w:rPr>
        <w:rFonts w:cs="Calibri"/>
        <w:color w:val="FF0000"/>
        <w:sz w:val="20"/>
        <w:szCs w:val="20"/>
      </w:rPr>
      <w:t xml:space="preserve">», </w:t>
    </w:r>
    <w:r>
      <w:rPr>
        <w:rFonts w:cs="Calibri"/>
        <w:color w:val="FF0000"/>
        <w:sz w:val="20"/>
        <w:szCs w:val="20"/>
      </w:rPr>
      <w:t xml:space="preserve"> +7(495) 971-77-92</w:t>
    </w:r>
    <w:r>
      <w:rPr>
        <w:rFonts w:cs="Calibri"/>
        <w:color w:val="FF0000"/>
        <w:sz w:val="20"/>
        <w:szCs w:val="20"/>
      </w:rPr>
      <w:t xml:space="preserve">, www.indprofi.ru</w:t>
    </w:r>
    <w:r>
      <w:rPr>
        <w:rFonts w:cs="Calibri"/>
        <w:color w:val="FF0000"/>
        <w:sz w:val="20"/>
        <w:szCs w:val="20"/>
      </w:rPr>
      <w:t xml:space="preserve">,  </w:t>
    </w:r>
    <w:hyperlink r:id="rId1" w:history="1">
      <w:r>
        <w:rPr>
          <w:rStyle w:val="156"/>
          <w:rFonts w:cs="Calibri"/>
          <w:sz w:val="20"/>
          <w:szCs w:val="20"/>
          <w:lang w:val="en-US"/>
        </w:rPr>
        <w:t xml:space="preserve">info</w:t>
      </w:r>
      <w:r>
        <w:rPr>
          <w:rStyle w:val="156"/>
          <w:rFonts w:cs="Calibri"/>
          <w:sz w:val="20"/>
          <w:szCs w:val="20"/>
        </w:rPr>
        <w:t xml:space="preserve">@</w:t>
      </w:r>
      <w:r>
        <w:rPr>
          <w:rStyle w:val="156"/>
          <w:rFonts w:cs="Calibri"/>
          <w:sz w:val="20"/>
          <w:szCs w:val="20"/>
          <w:lang w:val="en-US"/>
        </w:rPr>
        <w:t xml:space="preserve">indprofi</w:t>
      </w:r>
      <w:r>
        <w:rPr>
          <w:rStyle w:val="156"/>
          <w:rFonts w:cs="Calibri"/>
          <w:sz w:val="20"/>
          <w:szCs w:val="20"/>
        </w:rPr>
        <w:t xml:space="preserve">.</w:t>
      </w:r>
      <w:r>
        <w:rPr>
          <w:rStyle w:val="156"/>
          <w:rFonts w:cs="Calibri"/>
          <w:sz w:val="20"/>
          <w:szCs w:val="20"/>
          <w:lang w:val="en-US"/>
        </w:rPr>
        <w:t xml:space="preserve">ru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7"/>
      <w:jc w:val="center"/>
    </w:pPr>
    <w:r>
      <w:rPr>
        <w:lang w:eastAsia="ru-RU"/>
      </w:rPr>
      <w:drawing>
        <wp:inline xmlns:wp="http://schemas.openxmlformats.org/drawingml/2006/wordprocessingDrawing" distT="0" distB="0" distL="0" distR="0">
          <wp:extent cx="5934074" cy="828675"/>
          <wp:effectExtent l="19049" t="0" r="9524" b="0"/>
          <wp:docPr id="1" name="Рисунок 1" hidden="false"/>
          <wp:cNvGraphicFramePr>
            <wp:graphicFrameLocks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hidden="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147"/>
      <w:jc w:val="center"/>
      <w:rPr>
        <w:rFonts w:cs="Calibri"/>
        <w:sz w:val="16"/>
        <w:szCs w:val="16"/>
      </w:rPr>
      <w:pBdr>
        <w:bottom w:val="single" w:sz="4" w:space="1" w:color="auto"/>
      </w:pBdr>
    </w:pPr>
    <w:r>
      <w:rPr>
        <w:rFonts w:cs="Calibri"/>
        <w:sz w:val="16"/>
        <w:szCs w:val="16"/>
      </w:rPr>
      <w:t xml:space="preserve">Россия, 109382, г.</w:t>
    </w:r>
    <w:r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Москва, Егорьевский проезд, д.2а, стр.21, тел</w:t>
    </w:r>
    <w:r>
      <w:rPr>
        <w:rFonts w:cs="Calibri"/>
        <w:sz w:val="16"/>
        <w:szCs w:val="16"/>
      </w:rPr>
      <w:t xml:space="preserve">. +7</w:t>
    </w:r>
    <w:r>
      <w:rPr>
        <w:rFonts w:cs="Calibri"/>
        <w:sz w:val="16"/>
        <w:szCs w:val="16"/>
      </w:rPr>
      <w:t xml:space="preserve">(495) 971-77-92, </w:t>
    </w:r>
    <w:r>
      <w:rPr>
        <w:rFonts w:cs="Calibri"/>
        <w:sz w:val="16"/>
        <w:szCs w:val="16"/>
        <w:lang w:val="en-US"/>
      </w:rPr>
      <w:t xml:space="preserve">e</w:t>
    </w:r>
    <w:r>
      <w:rPr>
        <w:rFonts w:cs="Calibri"/>
        <w:sz w:val="16"/>
        <w:szCs w:val="16"/>
      </w:rPr>
      <w:t xml:space="preserve">-</w:t>
    </w:r>
    <w:r>
      <w:rPr>
        <w:rFonts w:cs="Calibri"/>
        <w:sz w:val="16"/>
        <w:szCs w:val="16"/>
        <w:lang w:val="en-US"/>
      </w:rPr>
      <w:t xml:space="preserve">mail</w:t>
    </w:r>
    <w:r>
      <w:rPr>
        <w:rFonts w:cs="Calibri"/>
        <w:sz w:val="16"/>
        <w:szCs w:val="16"/>
      </w:rPr>
      <w:t xml:space="preserve">:</w:t>
    </w:r>
    <w:r>
      <w:rPr>
        <w:rFonts w:cs="Calibri"/>
        <w:sz w:val="16"/>
        <w:szCs w:val="16"/>
        <w:lang w:val="en-US"/>
      </w:rPr>
      <w:t xml:space="preserve">info</w:t>
    </w:r>
    <w:r>
      <w:rPr>
        <w:rFonts w:cs="Calibri"/>
        <w:sz w:val="16"/>
        <w:szCs w:val="16"/>
      </w:rPr>
      <w:t xml:space="preserve">@</w:t>
    </w:r>
    <w:r>
      <w:rPr>
        <w:rFonts w:cs="Calibri"/>
        <w:sz w:val="16"/>
        <w:szCs w:val="16"/>
        <w:lang w:val="en-US"/>
      </w:rPr>
      <w:t xml:space="preserve">indprofi</w:t>
    </w:r>
    <w:r>
      <w:rPr>
        <w:rFonts w:cs="Calibri"/>
        <w:sz w:val="16"/>
        <w:szCs w:val="16"/>
      </w:rPr>
      <w:t xml:space="preserve">.</w:t>
    </w:r>
    <w:r>
      <w:rPr>
        <w:rFonts w:cs="Calibri"/>
        <w:sz w:val="16"/>
        <w:szCs w:val="16"/>
        <w:lang w:val="en-US"/>
      </w:rPr>
      <w:t xml:space="preserve">ru</w:t>
    </w:r>
    <w:r>
      <w:rPr>
        <w:rFonts w:cs="Calibri"/>
        <w:sz w:val="16"/>
        <w:szCs w:val="16"/>
      </w:rPr>
      <w:t xml:space="preserve">,</w:t>
    </w:r>
    <w:r/>
  </w:p>
  <w:p>
    <w:pPr>
      <w:pStyle w:val="147"/>
      <w:jc w:val="center"/>
      <w:rPr>
        <w:rFonts w:cs="Calibri"/>
        <w:sz w:val="16"/>
        <w:szCs w:val="16"/>
      </w:rPr>
      <w:pBdr>
        <w:bottom w:val="single" w:sz="4" w:space="1" w:color="auto"/>
      </w:pBdr>
    </w:pPr>
    <w:r>
      <w:rPr>
        <w:rFonts w:cs="Calibri"/>
        <w:sz w:val="16"/>
        <w:szCs w:val="16"/>
      </w:rPr>
      <w:t xml:space="preserve">ООО "Индэкс"</w:t>
    </w:r>
    <w:r>
      <w:rPr>
        <w:rFonts w:cs="Calibri"/>
        <w:sz w:val="16"/>
        <w:szCs w:val="16"/>
      </w:rPr>
      <w:t xml:space="preserve">, </w:t>
    </w:r>
    <w:r>
      <w:rPr>
        <w:rFonts w:cs="Calibri"/>
        <w:sz w:val="16"/>
        <w:szCs w:val="16"/>
      </w:rPr>
      <w:t xml:space="preserve">ИНН</w:t>
    </w:r>
    <w:r>
      <w:rPr>
        <w:rFonts w:cs="Calibri"/>
        <w:sz w:val="16"/>
        <w:szCs w:val="16"/>
      </w:rPr>
      <w:t xml:space="preserve">/КПП</w:t>
    </w:r>
    <w:r>
      <w:rPr>
        <w:rFonts w:cs="Calibri"/>
        <w:sz w:val="16"/>
        <w:szCs w:val="16"/>
      </w:rPr>
      <w:t xml:space="preserve"> 7723568888</w:t>
    </w:r>
    <w:r>
      <w:rPr>
        <w:rFonts w:cs="Calibri"/>
        <w:sz w:val="16"/>
        <w:szCs w:val="16"/>
      </w:rPr>
      <w:t xml:space="preserve">/</w:t>
    </w:r>
    <w:r>
      <w:rPr>
        <w:rFonts w:cs="Calibri"/>
        <w:sz w:val="16"/>
        <w:szCs w:val="16"/>
      </w:rPr>
      <w:t xml:space="preserve">772301001</w:t>
    </w:r>
    <w:r>
      <w:rPr>
        <w:rFonts w:cs="Calibri"/>
        <w:sz w:val="16"/>
        <w:szCs w:val="16"/>
      </w:rPr>
      <w:t xml:space="preserve">, </w:t>
    </w:r>
    <w:r>
      <w:rPr>
        <w:rFonts w:cs="Calibri"/>
        <w:sz w:val="16"/>
        <w:szCs w:val="16"/>
      </w:rPr>
      <w:t xml:space="preserve">ОГРН 7067746514516,</w:t>
    </w:r>
    <w:r>
      <w:rPr>
        <w:rFonts w:cs="Calibri"/>
        <w:sz w:val="16"/>
        <w:szCs w:val="16"/>
      </w:rPr>
      <w:t xml:space="preserve"> </w:t>
    </w:r>
    <w:r/>
  </w:p>
  <w:p>
    <w:pPr>
      <w:pStyle w:val="147"/>
      <w:jc w:val="center"/>
      <w:rPr>
        <w:rFonts w:cs="Calibri"/>
        <w:sz w:val="16"/>
        <w:szCs w:val="16"/>
        <w:u w:val="single"/>
      </w:rPr>
      <w:pBdr>
        <w:bottom w:val="single" w:sz="4" w:space="1" w:color="auto"/>
      </w:pBdr>
    </w:pPr>
    <w:r>
      <w:rPr>
        <w:rFonts w:cs="Calibri"/>
        <w:sz w:val="16"/>
        <w:szCs w:val="16"/>
      </w:rPr>
      <w:t xml:space="preserve">р/с 407028100382501291</w:t>
    </w:r>
    <w:r>
      <w:rPr>
        <w:rFonts w:cs="Calibri"/>
        <w:sz w:val="16"/>
        <w:szCs w:val="16"/>
      </w:rPr>
      <w:t xml:space="preserve">66 в ПАО «Сбербанк России», к/с</w:t>
    </w:r>
    <w:r>
      <w:rPr>
        <w:rFonts w:cs="Calibri"/>
        <w:sz w:val="16"/>
        <w:szCs w:val="16"/>
      </w:rPr>
      <w:t xml:space="preserve"> 30101810400000000225, БИК 044525225</w:t>
    </w:r>
    <w:r/>
  </w:p>
  <w:p>
    <w:pPr>
      <w:pStyle w:val="147"/>
      <w:ind w:left="-283"/>
      <w:jc w:val="center"/>
    </w:pPr>
    <w:r/>
    <w:r/>
  </w:p>
  <w:p>
    <w:pPr>
      <w:pStyle w:val="147"/>
      <w:ind w:left="-28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25" w:hanging="359"/>
      </w:pPr>
    </w:lvl>
    <w:lvl w:ilvl="1">
      <w:start w:val="1"/>
      <w:numFmt w:val="lowerLetter"/>
      <w:suff w:val="tab"/>
      <w:lvlText w:val="%2."/>
      <w:lvlJc w:val="left"/>
      <w:pPr>
        <w:ind w:left="2145" w:hanging="359"/>
      </w:pPr>
    </w:lvl>
    <w:lvl w:ilvl="2">
      <w:start w:val="1"/>
      <w:numFmt w:val="lowerRoman"/>
      <w:suff w:val="tab"/>
      <w:lvlText w:val="%3."/>
      <w:lvlJc w:val="right"/>
      <w:pPr>
        <w:ind w:left="2865" w:hanging="179"/>
      </w:pPr>
    </w:lvl>
    <w:lvl w:ilvl="3">
      <w:start w:val="1"/>
      <w:numFmt w:val="decimal"/>
      <w:suff w:val="tab"/>
      <w:lvlText w:val="%4."/>
      <w:lvlJc w:val="left"/>
      <w:pPr>
        <w:ind w:left="3585" w:hanging="359"/>
      </w:pPr>
    </w:lvl>
    <w:lvl w:ilvl="4">
      <w:start w:val="1"/>
      <w:numFmt w:val="lowerLetter"/>
      <w:suff w:val="tab"/>
      <w:lvlText w:val="%5."/>
      <w:lvlJc w:val="left"/>
      <w:pPr>
        <w:ind w:left="4305" w:hanging="359"/>
      </w:pPr>
    </w:lvl>
    <w:lvl w:ilvl="5">
      <w:start w:val="1"/>
      <w:numFmt w:val="lowerRoman"/>
      <w:suff w:val="tab"/>
      <w:lvlText w:val="%6."/>
      <w:lvlJc w:val="right"/>
      <w:pPr>
        <w:ind w:left="5025" w:hanging="179"/>
      </w:pPr>
    </w:lvl>
    <w:lvl w:ilvl="6">
      <w:start w:val="1"/>
      <w:numFmt w:val="decimal"/>
      <w:suff w:val="tab"/>
      <w:lvlText w:val="%7."/>
      <w:lvlJc w:val="left"/>
      <w:pPr>
        <w:ind w:left="5745" w:hanging="359"/>
      </w:pPr>
    </w:lvl>
    <w:lvl w:ilvl="7">
      <w:start w:val="1"/>
      <w:numFmt w:val="lowerLetter"/>
      <w:suff w:val="tab"/>
      <w:lvlText w:val="%8."/>
      <w:lvlJc w:val="left"/>
      <w:pPr>
        <w:ind w:left="6465" w:hanging="359"/>
      </w:pPr>
    </w:lvl>
    <w:lvl w:ilvl="8">
      <w:start w:val="1"/>
      <w:numFmt w:val="lowerRoman"/>
      <w:suff w:val="tab"/>
      <w:lvlText w:val="%9."/>
      <w:lvlJc w:val="right"/>
      <w:pPr>
        <w:ind w:left="7185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9"/>
      </w:pPr>
    </w:lvl>
    <w:lvl w:ilvl="1">
      <w:start w:val="1"/>
      <w:numFmt w:val="lowerLetter"/>
      <w:suff w:val="tab"/>
      <w:lvlText w:val="%2."/>
      <w:lvlJc w:val="left"/>
      <w:pPr>
        <w:ind w:left="2148" w:hanging="359"/>
      </w:pPr>
    </w:lvl>
    <w:lvl w:ilvl="2">
      <w:start w:val="1"/>
      <w:numFmt w:val="lowerRoman"/>
      <w:suff w:val="tab"/>
      <w:lvlText w:val="%3."/>
      <w:lvlJc w:val="right"/>
      <w:pPr>
        <w:ind w:left="2868" w:hanging="179"/>
      </w:pPr>
    </w:lvl>
    <w:lvl w:ilvl="3">
      <w:start w:val="1"/>
      <w:numFmt w:val="decimal"/>
      <w:suff w:val="tab"/>
      <w:lvlText w:val="%4."/>
      <w:lvlJc w:val="left"/>
      <w:pPr>
        <w:ind w:left="3588" w:hanging="359"/>
      </w:pPr>
    </w:lvl>
    <w:lvl w:ilvl="4">
      <w:start w:val="1"/>
      <w:numFmt w:val="lowerLetter"/>
      <w:suff w:val="tab"/>
      <w:lvlText w:val="%5."/>
      <w:lvlJc w:val="left"/>
      <w:pPr>
        <w:ind w:left="4308" w:hanging="359"/>
      </w:pPr>
    </w:lvl>
    <w:lvl w:ilvl="5">
      <w:start w:val="1"/>
      <w:numFmt w:val="lowerRoman"/>
      <w:suff w:val="tab"/>
      <w:lvlText w:val="%6."/>
      <w:lvlJc w:val="right"/>
      <w:pPr>
        <w:ind w:left="5028" w:hanging="179"/>
      </w:pPr>
    </w:lvl>
    <w:lvl w:ilvl="6">
      <w:start w:val="1"/>
      <w:numFmt w:val="decimal"/>
      <w:suff w:val="tab"/>
      <w:lvlText w:val="%7."/>
      <w:lvlJc w:val="left"/>
      <w:pPr>
        <w:ind w:left="5748" w:hanging="359"/>
      </w:pPr>
    </w:lvl>
    <w:lvl w:ilvl="7">
      <w:start w:val="1"/>
      <w:numFmt w:val="lowerLetter"/>
      <w:suff w:val="tab"/>
      <w:lvlText w:val="%8."/>
      <w:lvlJc w:val="left"/>
      <w:pPr>
        <w:ind w:left="6468" w:hanging="359"/>
      </w:pPr>
    </w:lvl>
    <w:lvl w:ilvl="8">
      <w:start w:val="1"/>
      <w:numFmt w:val="lowerRoman"/>
      <w:suff w:val="tab"/>
      <w:lvlText w:val="%9."/>
      <w:lvlJc w:val="right"/>
      <w:pPr>
        <w:ind w:left="7188" w:hanging="179"/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35"/>
    <w:next w:val="13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35"/>
    <w:next w:val="13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35"/>
    <w:next w:val="13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35"/>
    <w:next w:val="13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35"/>
    <w:next w:val="13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35"/>
    <w:next w:val="13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35"/>
    <w:next w:val="13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35"/>
    <w:next w:val="13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35"/>
    <w:next w:val="13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35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35"/>
    <w:next w:val="135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35"/>
    <w:next w:val="135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35"/>
    <w:next w:val="135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35"/>
    <w:next w:val="135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52">
    <w:name w:val="footnote text"/>
    <w:basedOn w:val="135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36"/>
    <w:uiPriority w:val="99"/>
    <w:semiHidden/>
    <w:rPr>
      <w:sz w:val="20"/>
    </w:rPr>
  </w:style>
  <w:style w:type="character" w:styleId="54">
    <w:name w:val="footnote reference"/>
    <w:basedOn w:val="136"/>
    <w:uiPriority w:val="99"/>
    <w:semiHidden/>
    <w:unhideWhenUsed/>
    <w:rPr>
      <w:vertAlign w:val="superscript"/>
    </w:rPr>
  </w:style>
  <w:style w:type="paragraph" w:styleId="135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136" w:default="1">
    <w:name w:val="Default Paragraph Font"/>
    <w:uiPriority w:val="1"/>
    <w:semiHidden/>
    <w:unhideWhenUsed/>
  </w:style>
  <w:style w:type="table" w:styleId="1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8" w:default="1">
    <w:name w:val="No List"/>
    <w:uiPriority w:val="99"/>
    <w:semiHidden/>
    <w:unhideWhenUsed/>
  </w:style>
  <w:style w:type="paragraph" w:styleId="139">
    <w:name w:val="Balloon Text"/>
    <w:basedOn w:val="135"/>
    <w:uiPriority w:val="99"/>
    <w:semiHidden/>
    <w:unhideWhenUsed/>
    <w:rPr>
      <w:rFonts w:ascii="Tahoma" w:hAnsi="Tahoma" w:cs="Tahoma" w:eastAsia="Calibri"/>
      <w:sz w:val="16"/>
      <w:szCs w:val="16"/>
      <w:lang w:eastAsia="en-US"/>
    </w:rPr>
  </w:style>
  <w:style w:type="character" w:styleId="140">
    <w:name w:val="Текст выноски Знак"/>
    <w:basedOn w:val="136"/>
    <w:uiPriority w:val="99"/>
    <w:semiHidden/>
    <w:rPr>
      <w:rFonts w:ascii="Tahoma" w:hAnsi="Tahoma" w:cs="Tahoma"/>
      <w:sz w:val="16"/>
      <w:szCs w:val="16"/>
    </w:rPr>
  </w:style>
  <w:style w:type="character" w:styleId="141">
    <w:name w:val="Текст Знак"/>
    <w:basedOn w:val="136"/>
    <w:rPr>
      <w:rFonts w:ascii="Consolas" w:hAnsi="Consolas"/>
      <w:sz w:val="21"/>
      <w:szCs w:val="21"/>
    </w:rPr>
  </w:style>
  <w:style w:type="paragraph" w:styleId="142">
    <w:name w:val="Plain Text"/>
    <w:basedOn w:val="135"/>
    <w:rPr>
      <w:rFonts w:ascii="Consolas" w:hAnsi="Consolas" w:cs="Calibri" w:eastAsia="Calibri"/>
      <w:sz w:val="21"/>
      <w:szCs w:val="21"/>
      <w:lang w:eastAsia="en-US"/>
    </w:rPr>
  </w:style>
  <w:style w:type="character" w:styleId="143">
    <w:name w:val="Текст Знак1"/>
    <w:basedOn w:val="136"/>
    <w:uiPriority w:val="99"/>
    <w:semiHidden/>
    <w:rPr>
      <w:rFonts w:ascii="Consolas" w:hAnsi="Consolas" w:cs="Consolas"/>
      <w:sz w:val="21"/>
      <w:szCs w:val="21"/>
    </w:rPr>
  </w:style>
  <w:style w:type="paragraph" w:styleId="144">
    <w:name w:val="Стиль Blackadder ITC 48 пт курсив Красный"/>
    <w:basedOn w:val="146"/>
    <w:rPr>
      <w:rFonts w:ascii="Times New Roman" w:hAnsi="Times New Roman" w:cs="Times New Roman" w:eastAsia="Times New Roman"/>
      <w:i/>
      <w:color w:val="FF0000"/>
      <w:sz w:val="96"/>
      <w:szCs w:val="96"/>
      <w:lang w:eastAsia="ru-RU"/>
    </w:rPr>
    <w:pPr>
      <w:spacing w:after="0"/>
      <w:tabs>
        <w:tab w:val="right" w:pos="9355"/>
      </w:tabs>
    </w:pPr>
  </w:style>
  <w:style w:type="character" w:styleId="145">
    <w:name w:val="Стиль Blackadder ITC 48 пт курсив Красный Знак"/>
    <w:basedOn w:val="136"/>
    <w:rPr>
      <w:rFonts w:ascii="Times New Roman" w:hAnsi="Times New Roman" w:cs="Times New Roman" w:eastAsia="Times New Roman"/>
      <w:b/>
      <w:bCs/>
      <w:i/>
      <w:color w:val="FF0000"/>
      <w:sz w:val="96"/>
      <w:szCs w:val="96"/>
      <w:lang w:eastAsia="ru-RU"/>
    </w:rPr>
  </w:style>
  <w:style w:type="paragraph" w:styleId="146">
    <w:name w:val="caption"/>
    <w:basedOn w:val="135"/>
    <w:next w:val="135"/>
    <w:qFormat/>
    <w:uiPriority w:val="35"/>
    <w:semiHidden/>
    <w:unhideWhenUsed/>
    <w:rPr>
      <w:rFonts w:ascii="Calibri" w:hAnsi="Calibri" w:cs="Calibri" w:eastAsia="Calibri"/>
      <w:b/>
      <w:bCs/>
      <w:color w:val="4F81BD" w:themeColor="accent1"/>
      <w:sz w:val="18"/>
      <w:szCs w:val="18"/>
      <w:lang w:eastAsia="en-US"/>
    </w:rPr>
    <w:pPr>
      <w:spacing w:after="200"/>
    </w:pPr>
  </w:style>
  <w:style w:type="paragraph" w:styleId="147">
    <w:name w:val="Header"/>
    <w:basedOn w:val="135"/>
    <w:unhideWhenUsed/>
    <w:rPr>
      <w:rFonts w:ascii="Calibri" w:hAnsi="Calibri" w:cs="Calibri" w:eastAsia="Calibri"/>
      <w:sz w:val="22"/>
      <w:szCs w:val="22"/>
      <w:lang w:eastAsia="en-US"/>
    </w:rPr>
    <w:pPr>
      <w:tabs>
        <w:tab w:val="center" w:pos="4677"/>
        <w:tab w:val="right" w:pos="9355"/>
      </w:tabs>
    </w:pPr>
  </w:style>
  <w:style w:type="character" w:styleId="148">
    <w:name w:val="Верхний колонтитул Знак"/>
    <w:basedOn w:val="136"/>
  </w:style>
  <w:style w:type="paragraph" w:styleId="149">
    <w:name w:val="Footer"/>
    <w:basedOn w:val="135"/>
    <w:uiPriority w:val="99"/>
    <w:semiHidden/>
    <w:unhideWhenUsed/>
    <w:pPr>
      <w:tabs>
        <w:tab w:val="center" w:pos="4677"/>
        <w:tab w:val="right" w:pos="9355"/>
      </w:tabs>
    </w:pPr>
  </w:style>
  <w:style w:type="character" w:styleId="150">
    <w:name w:val="Нижний колонтитул Знак"/>
    <w:basedOn w:val="136"/>
    <w:uiPriority w:val="99"/>
    <w:semiHidden/>
  </w:style>
  <w:style w:type="table" w:styleId="151">
    <w:name w:val="Table Grid"/>
    <w:basedOn w:val="1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52">
    <w:name w:val="Светлая заливка1"/>
    <w:basedOn w:val="137"/>
    <w:uiPriority w:val="60"/>
    <w:rPr>
      <w:color w:val="000000" w:themeColor="tex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000000" w:sz="8" w:space="0" w:themeColor="text1"/>
        <w:bottom w:val="single" w:color="000000" w:sz="8" w:space="0" w:themeColor="text1"/>
      </w:tblBorders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</w:style>
  <w:style w:type="table" w:styleId="153">
    <w:name w:val="Светлая заливка - Акцент 11"/>
    <w:basedOn w:val="137"/>
    <w:uiPriority w:val="60"/>
    <w:rPr>
      <w:color w:val="365F91" w:themeColor="accen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4F81BD" w:sz="8" w:space="0" w:themeColor="accent1"/>
        <w:bottom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</w:style>
  <w:style w:type="table" w:styleId="154">
    <w:name w:val="Light Shading Accent 2"/>
    <w:basedOn w:val="137"/>
    <w:uiPriority w:val="60"/>
    <w:rPr>
      <w:color w:val="943634" w:themeColor="accent2" w:themeShade="BF"/>
    </w:rPr>
    <w:pPr>
      <w:spacing w:lineRule="auto" w:line="240" w:after="0"/>
    </w:pPr>
    <w:tblPr>
      <w:tblStyleRowBandSize w:val="1"/>
      <w:tblStyleColBandSize w:val="1"/>
      <w:tblBorders>
        <w:top w:val="single" w:color="C0504D" w:sz="8" w:space="0" w:themeColor="accent2"/>
        <w:bottom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</w:style>
  <w:style w:type="paragraph" w:styleId="155">
    <w:name w:val="List Paragraph"/>
    <w:basedOn w:val="135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156">
    <w:name w:val="Hyperlink"/>
    <w:basedOn w:val="136"/>
    <w:uiPriority w:val="99"/>
    <w:unhideWhenUsed/>
    <w:rPr>
      <w:color w:val="0000FF" w:themeColor="hyperlink"/>
      <w:u w:val="single"/>
    </w:rPr>
  </w:style>
  <w:style w:type="character" w:styleId="157">
    <w:name w:val="apple-converted-space"/>
    <w:basedOn w:val="136"/>
  </w:style>
  <w:style w:type="paragraph" w:styleId="158">
    <w:name w:val="Normal (Web)"/>
    <w:basedOn w:val="135"/>
    <w:uiPriority w:val="99"/>
    <w:semiHidden/>
    <w:unhideWhenUsed/>
    <w:pPr>
      <w:spacing w:after="100" w:afterAutospacing="1" w:before="100" w:beforeAutospacing="1"/>
    </w:pPr>
  </w:style>
  <w:style w:type="character" w:styleId="159">
    <w:name w:val="Strong"/>
    <w:basedOn w:val="136"/>
    <w:qFormat/>
    <w:rPr>
      <w:b/>
      <w:bCs/>
    </w:rPr>
  </w:style>
  <w:style w:type="paragraph" w:styleId="160">
    <w:name w:val="Содержимое таблицы"/>
    <w:basedOn w:val="135"/>
    <w:rPr>
      <w:rFonts w:cs="FreeSans" w:eastAsia="Arial Unicode MS"/>
      <w:lang w:bidi="hi-IN" w:eastAsia="zh-CN"/>
    </w:rPr>
    <w:pPr>
      <w:widowControl w:val="off"/>
    </w:pPr>
  </w:style>
  <w:style w:type="character" w:styleId="161">
    <w:name w:val="nospan"/>
    <w:basedOn w:val="13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indprofi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