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13" w:rsidRDefault="00C53B13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DC519D" w:rsidRDefault="000F6264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r w:rsidRPr="000F6264"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  <w:t>Расчет окупаемости электромобилей</w:t>
      </w:r>
    </w:p>
    <w:p w:rsidR="000F6264" w:rsidRPr="000F6264" w:rsidRDefault="000F6264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r w:rsidRPr="000F6264"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  <w:t>по сравнению с ДВС-аналогами</w:t>
      </w:r>
    </w:p>
    <w:p w:rsid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19D" w:rsidRPr="000F6264" w:rsidRDefault="00DC519D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окупаемости электромобилей произведено сравнение эксплуатационных расходов на электромобили и транспортных средств с ДВС, в том числе оценка сокращения расходов на топливо.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сравнительного анализа затрат на ГСМ были учтены следующие параметры, динамика которых должна быть взята во внимание при расчете долгосрочных параметров: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Рисунок 1.</w:t>
      </w:r>
      <w:r w:rsidRPr="000F62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Прогноз стоимости топлива</w:t>
      </w:r>
      <w:r w:rsidRPr="000F626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07BCF8" wp14:editId="3BE95B66">
            <wp:extent cx="5274310" cy="1996440"/>
            <wp:effectExtent l="0" t="0" r="21590" b="2286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6264" w:rsidRPr="000F6264" w:rsidRDefault="000F6264" w:rsidP="000F626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* Источник: Данные ФАС и прогноз Министерства экономического развития</w:t>
      </w:r>
    </w:p>
    <w:p w:rsidR="000F6264" w:rsidRPr="000F6264" w:rsidRDefault="000F6264" w:rsidP="000F626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0F6264" w:rsidRPr="000F6264" w:rsidRDefault="000F6264" w:rsidP="000F626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 xml:space="preserve">Рисунок 2. 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Прогноз стоимости электроэнергии.</w:t>
      </w:r>
    </w:p>
    <w:p w:rsidR="000F6264" w:rsidRPr="000F6264" w:rsidRDefault="000F6264" w:rsidP="000F626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6421B7" wp14:editId="566E0BCC">
            <wp:extent cx="5417820" cy="1693545"/>
            <wp:effectExtent l="0" t="0" r="11430" b="2095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519D" w:rsidRDefault="00DC519D" w:rsidP="00DC519D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* Источник: Прогноз Министерства экономического развития "Сценарные условия развития электроэнергетики на период до 2030 г."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Предполагается, что зарядка электротранспортного средства (ЭСТ) производится в по одноставочному тарифу для юридических лиц. При этом ограничения по пробегу на одной зарядке не ограничивает применимости ЭТС в его обычном режиме эксплуатации.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</w:pPr>
    </w:p>
    <w:p w:rsidR="00DC519D" w:rsidRDefault="00DC519D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lastRenderedPageBreak/>
        <w:t>Таблица №1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. Сводная таблица экономико-технических параметров электромобилей и их аналогов с ДВС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68"/>
        <w:gridCol w:w="850"/>
        <w:gridCol w:w="1134"/>
        <w:gridCol w:w="1134"/>
        <w:gridCol w:w="1576"/>
        <w:gridCol w:w="1259"/>
        <w:gridCol w:w="992"/>
      </w:tblGrid>
      <w:tr w:rsidR="000F6264" w:rsidRPr="000F6264" w:rsidTr="001403C9">
        <w:trPr>
          <w:trHeight w:val="12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Модель Т</w:t>
            </w: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C </w:t>
            </w: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электродвигателем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Батарея, кВт*ч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Цена, руб. (без НДС)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 топлива в городском  цикле (на 100 км) аналога с ДВС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топлива для аналога с ДВС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Пробег на 1 зарядке, км.</w:t>
            </w:r>
          </w:p>
        </w:tc>
      </w:tr>
      <w:tr w:rsidR="000F6264" w:rsidRPr="000F6264" w:rsidTr="001403C9">
        <w:trPr>
          <w:trHeight w:val="374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ДВС</w:t>
            </w: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F6264" w:rsidRPr="000F6264" w:rsidTr="001403C9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Smith Edison Minibus (12)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5 770 135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2 245 820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</w:tr>
      <w:tr w:rsidR="000F6264" w:rsidRPr="000F6264" w:rsidTr="001403C9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Smith Edison Minibus (17)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5 935 160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2 426 250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Инвестиции в электротранспорт были рассчитаны на основании:</w:t>
      </w:r>
    </w:p>
    <w:p w:rsidR="000F6264" w:rsidRPr="000F6264" w:rsidRDefault="000F6264" w:rsidP="000F62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Оценки капитальных затрат на приобретении электротранспортных средств и транспортных средств с ДВС без учета применимости лизинга и страхования</w:t>
      </w:r>
    </w:p>
    <w:p w:rsidR="000F6264" w:rsidRPr="000F6264" w:rsidRDefault="000F6264" w:rsidP="000F62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Оценки операционных затрат на эксплуатацию транспортных средств в виде затрат на топливо и затрат на техническое обслуживание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Экономический эффект от замены части парка транспортными средствами на электрической тяге достигается по двум основным направлениям:</w:t>
      </w:r>
    </w:p>
    <w:p w:rsidR="000F6264" w:rsidRPr="000F6264" w:rsidRDefault="000F6264" w:rsidP="000F62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сокращение расходов на топливо;</w:t>
      </w:r>
    </w:p>
    <w:p w:rsidR="000F6264" w:rsidRPr="000F6264" w:rsidRDefault="000F6264" w:rsidP="000F62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sz w:val="26"/>
          <w:szCs w:val="26"/>
          <w:lang w:eastAsia="zh-CN"/>
        </w:rPr>
        <w:t>сокращение расходов на техническое обслуживание и ремонт.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равнозначного оперирования показателями потребления топлива и электроэнергии на 100 км. пробега в расчетах полная емкость батарей электромобиля приводится к показателю «на 100 км.» по следующей формуле: (емкость батареи, кВт*ч  / пробег на 1 зарядке, км.) * 100 км. (</w:t>
      </w:r>
      <w:r w:rsidRPr="000F62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например, для Smith Edison Minibus затраты э/э на 100 км. пути составят (40/110)*100 = 36.36 кВт*ч</w:t>
      </w: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техническое обслуживание и ремонт были переработаны в контексте применимости к ЭТС (исключены работ и материалов, необходимых для обслуживания ТС с ДВС - масло, фильтры для ДВС, коробки передач, свечи зажигания, сцепление  и т.д.).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>Таблица №2.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Стоимость ТО автомобилей с ДВС и их аналогов с электроприводом.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850"/>
        <w:gridCol w:w="4678"/>
      </w:tblGrid>
      <w:tr w:rsidR="000F6264" w:rsidRPr="000F6264" w:rsidTr="001403C9">
        <w:trPr>
          <w:trHeight w:val="351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Модель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на 100 000 км., с учетом 18% НДС</w:t>
            </w:r>
          </w:p>
        </w:tc>
      </w:tr>
      <w:tr w:rsidR="000F6264" w:rsidRPr="000F6264" w:rsidTr="001403C9">
        <w:trPr>
          <w:trHeight w:val="288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Ford Transit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81 750 р.</w:t>
            </w:r>
          </w:p>
        </w:tc>
      </w:tr>
      <w:tr w:rsidR="000F6264" w:rsidRPr="000F6264" w:rsidTr="001403C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Smith Edison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 р.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расчете операционных затрат на эксплуатации транспортных средств были учтены затраты на техническое обслуживание, затраты на ГСМ </w:t>
      </w: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(электроэнергию для ЭТС). Результаты расчетов операционных затрат за 8 лет сведены в Таблицу  №3.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 xml:space="preserve">Таблица №3. 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Операционные затраты на содержание транспортных средств с электродвигателями и транспортных средств с ДВС на период 8 лет.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1134"/>
        <w:gridCol w:w="2835"/>
      </w:tblGrid>
      <w:tr w:rsidR="000F6264" w:rsidRPr="000F6264" w:rsidTr="001403C9">
        <w:trPr>
          <w:trHeight w:val="245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Модель ТC с электродвигателем </w:t>
            </w:r>
          </w:p>
        </w:tc>
        <w:tc>
          <w:tcPr>
            <w:tcW w:w="4253" w:type="dxa"/>
            <w:gridSpan w:val="4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Операционные затраты (без НДС)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Модель ТC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ДВС </w:t>
            </w:r>
          </w:p>
        </w:tc>
      </w:tr>
      <w:tr w:rsidR="000F6264" w:rsidRPr="000F6264" w:rsidTr="001403C9">
        <w:trPr>
          <w:trHeight w:val="276"/>
        </w:trPr>
        <w:tc>
          <w:tcPr>
            <w:tcW w:w="2410" w:type="dxa"/>
            <w:vMerge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ДВС</w:t>
            </w: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F6264" w:rsidRPr="000F6264" w:rsidTr="001403C9">
        <w:trPr>
          <w:trHeight w:val="252"/>
        </w:trPr>
        <w:tc>
          <w:tcPr>
            <w:tcW w:w="2410" w:type="dxa"/>
            <w:vMerge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Э/Э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ГСМ</w:t>
            </w:r>
          </w:p>
        </w:tc>
        <w:tc>
          <w:tcPr>
            <w:tcW w:w="2835" w:type="dxa"/>
            <w:vMerge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F6264" w:rsidRPr="000F6264" w:rsidTr="001403C9">
        <w:trPr>
          <w:trHeight w:val="288"/>
        </w:trPr>
        <w:tc>
          <w:tcPr>
            <w:tcW w:w="2410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Smith Edison Minibus (12)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49 492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285 629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202 297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3 468 875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Ford Transit bus 2.2</w:t>
            </w:r>
          </w:p>
        </w:tc>
      </w:tr>
      <w:tr w:rsidR="000F6264" w:rsidRPr="000F6264" w:rsidTr="001403C9">
        <w:trPr>
          <w:trHeight w:val="288"/>
        </w:trPr>
        <w:tc>
          <w:tcPr>
            <w:tcW w:w="2410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Smith Edison Minibus (17)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49 492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285 629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202 297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4 162 650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Ford Transit van 2.2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стоимость владения (ПСВ) транспортным средством состоит из капитальных затрат на его приобретения, операционных затрат на его эксплуатацию. Для транспортного средства с ДВС в ОЗ учтен капитальный ремонт по прохождению 200 тыс. км. Для электротранспорта учитывается остаточная стоимость батареи (ОСБ) на момент окончания эксплуатации.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итоговых величин ПСВ данные Таблиц №№ 1, 2 и 3 были сведены по типам двигателя транспортных средств в Таблицы №№4, 5. Для расчета ПСВ была применена формула: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ПСВ = КЗ + ОЗ - ОСБ (для ЭТС), где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ПСВ - полная стоимость владения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КЗ - капитальные затраты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ОЗ - операционные затраты, состоящие из затрат техническое обслуживание и на ГСМ (э/э для электротранспортных средств)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ОСБ - остаточная стоимость тяговых батарей на момент окончания эксплуатации ТС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>Таблица №4.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Полная стоимость владения (8 лет) электромобиля.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636"/>
        <w:gridCol w:w="1057"/>
        <w:gridCol w:w="992"/>
        <w:gridCol w:w="1418"/>
        <w:gridCol w:w="1417"/>
      </w:tblGrid>
      <w:tr w:rsidR="000F6264" w:rsidRPr="000F6264" w:rsidTr="001403C9">
        <w:trPr>
          <w:trHeight w:val="483"/>
        </w:trPr>
        <w:tc>
          <w:tcPr>
            <w:tcW w:w="2978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Модель ТC с электродвигателем</w:t>
            </w:r>
          </w:p>
        </w:tc>
        <w:tc>
          <w:tcPr>
            <w:tcW w:w="1636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КЗ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  <w:tc>
          <w:tcPr>
            <w:tcW w:w="2049" w:type="dxa"/>
            <w:gridSpan w:val="2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ОЗ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  <w:tc>
          <w:tcPr>
            <w:tcW w:w="1418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ОСБ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  <w:tc>
          <w:tcPr>
            <w:tcW w:w="1417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ПСВ 8 лет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</w:tr>
      <w:tr w:rsidR="000F6264" w:rsidRPr="000F6264" w:rsidTr="001403C9">
        <w:trPr>
          <w:trHeight w:val="288"/>
        </w:trPr>
        <w:tc>
          <w:tcPr>
            <w:tcW w:w="2978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6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</w:t>
            </w:r>
          </w:p>
        </w:tc>
        <w:tc>
          <w:tcPr>
            <w:tcW w:w="992" w:type="dxa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э/э</w:t>
            </w:r>
          </w:p>
        </w:tc>
        <w:tc>
          <w:tcPr>
            <w:tcW w:w="1418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F6264" w:rsidRPr="000F6264" w:rsidTr="001403C9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Smith Edison Minibus (12)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5 770 135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49 492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285 629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5 625 256</w:t>
            </w:r>
          </w:p>
        </w:tc>
      </w:tr>
      <w:tr w:rsidR="000F6264" w:rsidRPr="000F6264" w:rsidTr="001403C9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Smith Edison Minibus (17)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5 935 160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49 492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285 629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5 790 281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 xml:space="preserve">Таблица №5. 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Полная стоимость владения (8 лет) автомобиля с ДВС.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636"/>
        <w:gridCol w:w="1057"/>
        <w:gridCol w:w="1100"/>
        <w:gridCol w:w="1309"/>
      </w:tblGrid>
      <w:tr w:rsidR="000F6264" w:rsidRPr="000F6264" w:rsidTr="001403C9">
        <w:trPr>
          <w:trHeight w:val="506"/>
        </w:trPr>
        <w:tc>
          <w:tcPr>
            <w:tcW w:w="2978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Модель ТC с ДВС</w:t>
            </w:r>
          </w:p>
        </w:tc>
        <w:tc>
          <w:tcPr>
            <w:tcW w:w="1636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КЗ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  <w:tc>
          <w:tcPr>
            <w:tcW w:w="2157" w:type="dxa"/>
            <w:gridSpan w:val="2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ОЗ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  <w:tc>
          <w:tcPr>
            <w:tcW w:w="1309" w:type="dxa"/>
            <w:vMerge w:val="restart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ПСВ 8 лет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(без НДС)</w:t>
            </w:r>
          </w:p>
        </w:tc>
      </w:tr>
      <w:tr w:rsidR="000F6264" w:rsidRPr="000F6264" w:rsidTr="001403C9">
        <w:trPr>
          <w:trHeight w:val="265"/>
        </w:trPr>
        <w:tc>
          <w:tcPr>
            <w:tcW w:w="2978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6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</w:t>
            </w:r>
          </w:p>
        </w:tc>
        <w:tc>
          <w:tcPr>
            <w:tcW w:w="1100" w:type="dxa"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ГСМ</w:t>
            </w:r>
          </w:p>
        </w:tc>
        <w:tc>
          <w:tcPr>
            <w:tcW w:w="1309" w:type="dxa"/>
            <w:vMerge/>
            <w:shd w:val="clear" w:color="000000" w:fill="D9D9D9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F6264" w:rsidRPr="000F6264" w:rsidTr="001403C9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Ford Transit bus 2.2 (12)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2 245 820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202 297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3 468 875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5 996 992</w:t>
            </w:r>
          </w:p>
        </w:tc>
      </w:tr>
      <w:tr w:rsidR="000F6264" w:rsidRPr="000F6264" w:rsidTr="001403C9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Ford Transit bus 2.2 (17)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2 426 250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202 297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4 162 650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6 871 197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A9809F" wp14:editId="61B83684">
            <wp:simplePos x="0" y="0"/>
            <wp:positionH relativeFrom="column">
              <wp:posOffset>0</wp:posOffset>
            </wp:positionH>
            <wp:positionV relativeFrom="paragraph">
              <wp:posOffset>504190</wp:posOffset>
            </wp:positionV>
            <wp:extent cx="2660015" cy="2660015"/>
            <wp:effectExtent l="0" t="0" r="6985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2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104F39" wp14:editId="53BC45C7">
            <wp:simplePos x="0" y="0"/>
            <wp:positionH relativeFrom="column">
              <wp:posOffset>2971800</wp:posOffset>
            </wp:positionH>
            <wp:positionV relativeFrom="paragraph">
              <wp:posOffset>504190</wp:posOffset>
            </wp:positionV>
            <wp:extent cx="2369185" cy="26670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в графическом виде показана структура полной стоимости владения транспортным средством с электроприводом и с ДВС:</w:t>
      </w: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DC519D" w:rsidRDefault="00DC519D" w:rsidP="000F626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r w:rsidRPr="000F6264"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  <w:t>Сравнение полной стоимости владения электробуса, использующего технологию ультрабыстрой подзарядки с другими видами транспортных средств, применяемых в общественных пассажирских перевозках.</w:t>
      </w:r>
    </w:p>
    <w:p w:rsidR="000F6264" w:rsidRPr="000F6264" w:rsidRDefault="000F6264" w:rsidP="000F6264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left="360" w:firstLine="348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Для расчета экономической целесообразности внедрения электробусов с технологией ультрабыстрой подзарядки было произведено сравнение эксплуатационных расходов на электробусы и транспортных средств, используемых в общественных перевозках в настоящее время: автобус с дизельным двигателем, троллейбус, трамвай.</w:t>
      </w:r>
    </w:p>
    <w:p w:rsidR="000F6264" w:rsidRPr="000F6264" w:rsidRDefault="000F6264" w:rsidP="000F6264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left="360" w:firstLine="348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Для проведения сравнительного анализа затрат на ГСМ были учтены следующие параметры: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Ежегодное удорожание дизельного топлива - 14% по отношению к предыдущему периоду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Ежегодное удорожание электроэнергии - 10% по отношению к предыдущему периоду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Удельный расход э/э электробусом составляет 1.7 кВт*ч/км в среднем по году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Удельный расход э/э троллейбусом на движение составляет 1.1 кВт*ч/км в среднем по году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Удельный расход э/э трамваем на движение составляет 0.9 кВт*ч/км в среднем по году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Удельный расход э/э на собственные нужды троллейбуса и трамвая составляют 4.5 и 2.5 кВт*ч/час работы соответственно</w:t>
      </w:r>
    </w:p>
    <w:p w:rsidR="000F6264" w:rsidRPr="000F6264" w:rsidRDefault="000F6264" w:rsidP="000F626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Удельный расход дизельного топлива автобусом составляет 38,49 л/100 </w:t>
      </w: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>км в среднем по году</w:t>
      </w:r>
    </w:p>
    <w:p w:rsidR="000F6264" w:rsidRPr="000F6264" w:rsidRDefault="000F6264" w:rsidP="000F6264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расчетах затрат на обслуживание и ремонт электробусов и автобусов с ДВС было принято, что полные затраты на горизонте срока службы транспортных средств (8 лет) равны для автобусов с ДВС и электробусов (фактически, при регулярном техническом обслуживании электробусов не производится замена технологических жидкостей и фильтров из-за их отсутствия, но есть необходимость учитывать возможность замены тяговой батареи на новую в случае существенного снижения ее рабочей емкости с возможностью реализации старой батареи за 30-50% от стоимости новой для вторичного использования).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расчетах затрат на обслуживание и ремонт троллейбусов и трамваев также учитывались затраты на ремонт и обслуживание контактной сети и трамвайного пути согласно установленным Министерством транспорта РФ нормативам («Методические рекомендации по расчету тарифов на регулярные перевозки пассажиров и багажа в городском и пригородном сообщении автомобильным и городским электрическим транспортом общего пользования»).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Проведенные расчеты сведены в таблицу: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 xml:space="preserve">Таблица №1. 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Структура полной стоимость владения (8 лет).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2854"/>
        <w:gridCol w:w="1774"/>
        <w:gridCol w:w="1719"/>
        <w:gridCol w:w="1759"/>
        <w:gridCol w:w="1458"/>
      </w:tblGrid>
      <w:tr w:rsidR="000F6264" w:rsidRPr="000F6264" w:rsidTr="001403C9">
        <w:trPr>
          <w:trHeight w:val="56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Модель ТС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Капитальные затраты на приобретение, руб. без НДС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Затраты на топливо (э/э),  руб. без НДС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Затраты на обслуживание и ремонт, </w:t>
            </w:r>
          </w:p>
          <w:p w:rsidR="000F6264" w:rsidRPr="000F6264" w:rsidRDefault="000F6264" w:rsidP="000F6264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руб. без НДС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Полная стоимость владения за 8 лет, руб. без НДС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Электробус ЛиАЗ-6274  с ультрабыстрой подзарядкой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12 500 000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7 210 210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5 382 203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24 577 398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Автобус ЛиАЗ-525625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6 274 000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16 689 627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5 382 203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 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345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830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Электробус ЛиАЗ-6274  с ультрабыстрой подзарядкой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12 500 000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7 210 210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5 382 203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24 577 398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Троллейбус ЛиАЗ-52803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8 900 000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3 879 886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18 009 969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789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855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Электробус ЛиАЗ-6274  с ультрабыстрой подзарядкой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12 500 000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7 210 210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5 382 203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24 577 398</w:t>
            </w:r>
          </w:p>
        </w:tc>
      </w:tr>
      <w:tr w:rsidR="000F6264" w:rsidRPr="000F6264" w:rsidTr="001403C9">
        <w:trPr>
          <w:trHeight w:val="22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Трамвай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40 000 000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3 146 085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24 277 938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 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424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0F62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023</w:t>
            </w:r>
          </w:p>
        </w:tc>
      </w:tr>
    </w:tbl>
    <w:p w:rsidR="00DC519D" w:rsidRDefault="00DC519D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 xml:space="preserve">График №1. 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Структура полной стоимости владения различными видами общественного транспорта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C505712" wp14:editId="0128F255">
            <wp:extent cx="1847850" cy="3257550"/>
            <wp:effectExtent l="0" t="0" r="19050" b="1905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</w:t>
      </w: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E5617A" wp14:editId="6CD93A71">
            <wp:extent cx="1819275" cy="3257550"/>
            <wp:effectExtent l="0" t="0" r="9525" b="1905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A40470" wp14:editId="034B16D5">
            <wp:extent cx="1885950" cy="3248025"/>
            <wp:effectExtent l="0" t="0" r="19050" b="9525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Проведенное сравнение показывает, что по эксплуатационным показателям электробус имеет преимущество перед как традиционными автобусами с ДВС в части затрат на топливо (электроэнергию), там и перед троллейбусами и трамваями в части эксплуатационных затрат.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r w:rsidRPr="000F6264"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  <w:t>Расчет окупаемости инвестиций в создание зарядной инфраструктуры для общественного транспорта.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эксплуатации электробусов с технологией ультрабыстрой подзарядки необходимо создать зарядную инфраструктуру, которая состоит из двух основных элементов: ультрабыстрой зарядной станции для подзарядки тяговых батарей во время технологических перерывов в течение рабочей смены и зарядной станции переменного тока для полной зарядки тяговых батарей во время ночной стоянки в автопарке.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ультрабыстрая зарядная станция может использоваться несколькими электробусами, так как они прибывают в место стоянки на технологический перерыв по очереди согласно маршрутному расписанию. Одна зарядная станция переменного тока обслуживает один электробус.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сравнительного анализа затрат на ГСМ были учтены следующие параметры: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одна ультрабыстрая зарядная станция может обслуживать 4-5 электробусов в течение рабочей смены (согласно результатам предварительного анализа нескольких маршрутов);</w:t>
      </w: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коммерческая наценка на приобретаемую электроэнергию составляет 40%;</w:t>
      </w: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рост стоимости э/э - 10% в год по отношению к предыдущему периоду;</w:t>
      </w: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коэффициент дисконтирования  - 8%</w:t>
      </w: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>стоимость одной ультрабыстрой зарядной станции  - 7.7 млн. руб. без НДС</w:t>
      </w:r>
    </w:p>
    <w:p w:rsidR="000F6264" w:rsidRPr="000F6264" w:rsidRDefault="000F6264" w:rsidP="000F6264">
      <w:pPr>
        <w:widowControl w:val="0"/>
        <w:numPr>
          <w:ilvl w:val="2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стоимость одной зарядной станции  переменного тока - 0.2 млн. руб. без НДС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вычислений сведены в таблицу: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834" w:tblpY="686"/>
        <w:tblW w:w="9969" w:type="dxa"/>
        <w:tblLook w:val="04A0" w:firstRow="1" w:lastRow="0" w:firstColumn="1" w:lastColumn="0" w:noHBand="0" w:noVBand="1"/>
      </w:tblPr>
      <w:tblGrid>
        <w:gridCol w:w="1526"/>
        <w:gridCol w:w="709"/>
        <w:gridCol w:w="819"/>
        <w:gridCol w:w="922"/>
        <w:gridCol w:w="810"/>
        <w:gridCol w:w="851"/>
        <w:gridCol w:w="992"/>
        <w:gridCol w:w="850"/>
        <w:gridCol w:w="851"/>
        <w:gridCol w:w="850"/>
        <w:gridCol w:w="789"/>
      </w:tblGrid>
      <w:tr w:rsidR="000F6264" w:rsidRPr="000F6264" w:rsidTr="001403C9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Год от начала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4"/>
                <w:lang w:eastAsia="ru-RU"/>
              </w:rPr>
              <w:t>10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Отпускная цена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6,28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Стоимость приобретения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4,48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Тариф на транспортировку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2,60</w:t>
            </w:r>
          </w:p>
        </w:tc>
      </w:tr>
      <w:tr w:rsidR="000F6264" w:rsidRPr="000F6264" w:rsidTr="001403C9">
        <w:trPr>
          <w:trHeight w:val="227"/>
        </w:trPr>
        <w:tc>
          <w:tcPr>
            <w:tcW w:w="99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4 666 160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 от 1 УБЗ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3 301 060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 от транспортировки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1 365 100</w:t>
            </w:r>
          </w:p>
        </w:tc>
      </w:tr>
      <w:tr w:rsidR="000F6264" w:rsidRPr="000F6264" w:rsidTr="001403C9">
        <w:trPr>
          <w:trHeight w:val="227"/>
        </w:trPr>
        <w:tc>
          <w:tcPr>
            <w:tcW w:w="99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11 033 400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2 536 650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2 543 332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2 553 825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2 568 747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2 589 006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2 615 903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2 651 264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2 697 649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2 758 655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CAPEX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8 500 000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2 357 900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1 УБЗ,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185 432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195 925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258 003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293 364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339 749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400 755</w:t>
            </w:r>
          </w:p>
        </w:tc>
      </w:tr>
      <w:tr w:rsidR="000F6264" w:rsidRPr="000F6264" w:rsidTr="001403C9">
        <w:trPr>
          <w:trHeight w:val="227"/>
        </w:trPr>
        <w:tc>
          <w:tcPr>
            <w:tcW w:w="99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Сальдо</w:t>
            </w: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-6 367 240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2 129 510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2 122 828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2 112 335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2 077 154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2 050 257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2 014 896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1 968 511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1 907 505</w:t>
            </w:r>
          </w:p>
        </w:tc>
      </w:tr>
      <w:tr w:rsidR="000F6264" w:rsidRPr="000F6264" w:rsidTr="001403C9">
        <w:trPr>
          <w:trHeight w:val="2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Финансовый результат по годам, млн. руб. без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-6 367 240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-4 237 730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-2 114 902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-2 567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2 094 846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4 172 001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6 222 258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8 237 153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10 205 664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64" w:rsidRPr="000F6264" w:rsidRDefault="000F6264" w:rsidP="000F62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F62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12 113 169</w:t>
            </w:r>
          </w:p>
        </w:tc>
      </w:tr>
    </w:tbl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F6264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>Таблица №1.</w:t>
      </w:r>
      <w:r w:rsidRPr="000F6264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Расчет окупаемости инвестиций в создание зарядной инфраструктуры для общественного электротранспорта (рублей без НДС)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Динамику финансового результата отображена на графике: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График №1.</w:t>
      </w:r>
      <w:r w:rsidRPr="000F62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Динамика финансового результата создания и эксплуатации одной ультрабыстрой зарядной станции</w:t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D8D2B8B" wp14:editId="4BCC44F1">
            <wp:extent cx="6153150" cy="2667000"/>
            <wp:effectExtent l="0" t="0" r="19050" b="1905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6264" w:rsidRPr="000F6264" w:rsidRDefault="000F6264" w:rsidP="000F62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графика видно, что срок окупаемости проекта составляет 4 года.</w:t>
      </w:r>
    </w:p>
    <w:p w:rsidR="000F6264" w:rsidRPr="000F6264" w:rsidRDefault="000F6264" w:rsidP="00DC519D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</w:pPr>
      <w:r w:rsidRPr="000F6264">
        <w:rPr>
          <w:rFonts w:ascii="Times New Roman" w:eastAsia="MS Gothic" w:hAnsi="Times New Roman" w:cs="Times New Roman"/>
          <w:b/>
          <w:bCs/>
          <w:sz w:val="26"/>
          <w:szCs w:val="26"/>
          <w:lang w:eastAsia="ru-RU"/>
        </w:rPr>
        <w:t>Сравнение инвестиций на проект по замене автобусов с ДВС на существующем маршруте (Маршрут №618 г. Москвы) на электробусы или троллейбусы.</w:t>
      </w:r>
    </w:p>
    <w:p w:rsidR="000F6264" w:rsidRPr="000F6264" w:rsidRDefault="000F6264" w:rsidP="00DC519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Протяженность маршрута (туда-обратно) - 16 км.</w:t>
      </w:r>
    </w:p>
    <w:p w:rsidR="000F6264" w:rsidRPr="000F6264" w:rsidRDefault="000F6264" w:rsidP="00DC5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транспортных средств на маршруте - 5 ед.</w:t>
      </w:r>
    </w:p>
    <w:p w:rsidR="000F6264" w:rsidRPr="000F6264" w:rsidRDefault="000F6264" w:rsidP="00DC5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циклов одного транспортного средства - 16.</w:t>
      </w:r>
    </w:p>
    <w:p w:rsidR="000F6264" w:rsidRPr="000F6264" w:rsidRDefault="000F6264" w:rsidP="00DC5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№1. Внедрение электробусов с ультрабыстрой подзарядкой.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Капитальные затраты:</w:t>
      </w:r>
    </w:p>
    <w:p w:rsidR="000F6264" w:rsidRPr="000F6264" w:rsidRDefault="000F6264" w:rsidP="000F6264">
      <w:pPr>
        <w:widowControl w:val="0"/>
        <w:numPr>
          <w:ilvl w:val="0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приобретение транспортных средств - 62 500 000 руб. без НДС.</w:t>
      </w:r>
    </w:p>
    <w:p w:rsidR="000F6264" w:rsidRPr="000F6264" w:rsidRDefault="000F6264" w:rsidP="000F6264">
      <w:pPr>
        <w:widowControl w:val="0"/>
        <w:numPr>
          <w:ilvl w:val="0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размещение зарядной инфраструктуры:</w:t>
      </w:r>
    </w:p>
    <w:p w:rsidR="000F6264" w:rsidRPr="000F6264" w:rsidRDefault="000F6264" w:rsidP="000F6264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ультрабыстрая зарядная станция  - 11 000 000 руб. без НДС</w:t>
      </w:r>
    </w:p>
    <w:p w:rsidR="000F6264" w:rsidRPr="000F6264" w:rsidRDefault="000F6264" w:rsidP="000F6264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станции переменного тока - 1 500 000руб. без НДС (5 единиц)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 75 000 000 руб. без НДС.</w:t>
      </w:r>
    </w:p>
    <w:p w:rsidR="000F6264" w:rsidRPr="000F6264" w:rsidRDefault="000F6264" w:rsidP="000F626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№2. Внедрение троллейбусов с созданием контактной сети.</w:t>
      </w:r>
    </w:p>
    <w:p w:rsidR="000F6264" w:rsidRPr="000F6264" w:rsidRDefault="000F6264" w:rsidP="000F6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Капитальные затраты:</w:t>
      </w:r>
    </w:p>
    <w:p w:rsidR="000F6264" w:rsidRPr="000F6264" w:rsidRDefault="000F6264" w:rsidP="000F6264">
      <w:pPr>
        <w:widowControl w:val="0"/>
        <w:numPr>
          <w:ilvl w:val="0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приобретение транспортных средств - 44 500 000 руб. без НДС.</w:t>
      </w:r>
    </w:p>
    <w:p w:rsidR="000F6264" w:rsidRPr="000F6264" w:rsidRDefault="000F6264" w:rsidP="000F6264">
      <w:pPr>
        <w:widowControl w:val="0"/>
        <w:numPr>
          <w:ilvl w:val="0"/>
          <w:numId w:val="6"/>
        </w:numPr>
        <w:spacing w:after="0" w:line="240" w:lineRule="auto"/>
        <w:ind w:left="1701" w:hanging="567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0F6264">
        <w:rPr>
          <w:rFonts w:ascii="Times New Roman" w:eastAsia="MS Mincho" w:hAnsi="Times New Roman" w:cs="Times New Roman"/>
          <w:sz w:val="26"/>
          <w:szCs w:val="26"/>
          <w:lang w:eastAsia="ru-RU"/>
        </w:rPr>
        <w:t>создание контактной сети - 450 000 000 руб. без НДС (оценочно по данным проектов в РФ)</w:t>
      </w: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62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 494 500 000 руб. без НДС.</w:t>
      </w:r>
    </w:p>
    <w:p w:rsidR="000F6264" w:rsidRPr="000F6264" w:rsidRDefault="000F6264" w:rsidP="00DC519D">
      <w:pPr>
        <w:widowControl w:val="0"/>
        <w:spacing w:after="0" w:line="240" w:lineRule="auto"/>
        <w:ind w:firstLine="708"/>
        <w:jc w:val="both"/>
      </w:pPr>
      <w:r w:rsidRPr="000F62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в Программу могут быть внесены изменения.</w:t>
      </w:r>
    </w:p>
    <w:sectPr w:rsidR="000F6264" w:rsidRPr="000F62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C3" w:rsidRDefault="00265EC3" w:rsidP="00C53B13">
      <w:pPr>
        <w:spacing w:after="0" w:line="240" w:lineRule="auto"/>
      </w:pPr>
      <w:r>
        <w:separator/>
      </w:r>
    </w:p>
  </w:endnote>
  <w:endnote w:type="continuationSeparator" w:id="0">
    <w:p w:rsidR="00265EC3" w:rsidRDefault="00265EC3" w:rsidP="00C5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AE" w:rsidRDefault="001C35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0738"/>
      <w:docPartObj>
        <w:docPartGallery w:val="Page Numbers (Bottom of Page)"/>
        <w:docPartUnique/>
      </w:docPartObj>
    </w:sdtPr>
    <w:sdtEndPr/>
    <w:sdtContent>
      <w:p w:rsidR="00C53B13" w:rsidRDefault="00C53B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EB">
          <w:rPr>
            <w:noProof/>
          </w:rPr>
          <w:t>2</w:t>
        </w:r>
        <w:r>
          <w:fldChar w:fldCharType="end"/>
        </w:r>
      </w:p>
    </w:sdtContent>
  </w:sdt>
  <w:p w:rsidR="00C53B13" w:rsidRDefault="00C53B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AE" w:rsidRDefault="001C35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C3" w:rsidRDefault="00265EC3" w:rsidP="00C53B13">
      <w:pPr>
        <w:spacing w:after="0" w:line="240" w:lineRule="auto"/>
      </w:pPr>
      <w:r>
        <w:separator/>
      </w:r>
    </w:p>
  </w:footnote>
  <w:footnote w:type="continuationSeparator" w:id="0">
    <w:p w:rsidR="00265EC3" w:rsidRDefault="00265EC3" w:rsidP="00C5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AE" w:rsidRDefault="001C35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AE" w:rsidRDefault="001C35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AE" w:rsidRDefault="001C35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773"/>
    <w:multiLevelType w:val="multilevel"/>
    <w:tmpl w:val="D99E0A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7406BF"/>
    <w:multiLevelType w:val="hybridMultilevel"/>
    <w:tmpl w:val="D50A79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C51550"/>
    <w:multiLevelType w:val="hybridMultilevel"/>
    <w:tmpl w:val="8F74E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880FEA"/>
    <w:multiLevelType w:val="hybridMultilevel"/>
    <w:tmpl w:val="7D48AD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3146D1"/>
    <w:multiLevelType w:val="hybridMultilevel"/>
    <w:tmpl w:val="CEF2B88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1F0D41C">
      <w:start w:val="67"/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21633D"/>
    <w:multiLevelType w:val="hybridMultilevel"/>
    <w:tmpl w:val="CDA6E8FC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E9"/>
    <w:rsid w:val="000F07EB"/>
    <w:rsid w:val="000F6264"/>
    <w:rsid w:val="001C35AE"/>
    <w:rsid w:val="00265EC3"/>
    <w:rsid w:val="007F32E9"/>
    <w:rsid w:val="00C53B13"/>
    <w:rsid w:val="00CE221D"/>
    <w:rsid w:val="00DC519D"/>
    <w:rsid w:val="00E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13"/>
  </w:style>
  <w:style w:type="paragraph" w:styleId="a7">
    <w:name w:val="footer"/>
    <w:basedOn w:val="a"/>
    <w:link w:val="a8"/>
    <w:uiPriority w:val="99"/>
    <w:unhideWhenUsed/>
    <w:rsid w:val="00C5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13"/>
  </w:style>
  <w:style w:type="paragraph" w:styleId="a7">
    <w:name w:val="footer"/>
    <w:basedOn w:val="a"/>
    <w:link w:val="a8"/>
    <w:uiPriority w:val="99"/>
    <w:unhideWhenUsed/>
    <w:rsid w:val="00C5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EVolta\Dropbox\&#1043;&#1088;&#1091;&#1087;&#1087;&#1072;%20&#1087;&#1086;%20&#1080;&#1089;&#1089;&#1083;&#1077;&#1076;&#1086;&#1074;&#1072;&#1090;&#1077;&#1083;&#1100;&#1089;&#1082;&#1080;&#1084;%20&#1080;%20&#1072;&#1085;&#1072;&#1083;&#1080;&#1090;&#1080;&#1095;&#1077;&#1089;&#1082;&#1080;&#1084;%20&#1088;&#1072;&#1073;&#1086;&#1090;&#1072;&#1084;\&#1069;&#1090;&#1072;&#1087;%206\&#1057;&#1074;&#1086;&#1076;&#1085;&#1072;&#1103;%20&#1090;&#1072;&#1073;&#1083;&#1080;&#1094;&#1072;%20&#1087;&#1086;%20&#1072;&#1074;&#1090;&#1086;&#1087;&#1072;&#1088;&#1082;&#1091;%20&#1052;&#1054;&#1069;&#1057;&#1050;_v20121030_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EVolta\Dropbox\&#1043;&#1088;&#1091;&#1087;&#1087;&#1072;%20&#1087;&#1086;%20&#1080;&#1089;&#1089;&#1083;&#1077;&#1076;&#1086;&#1074;&#1072;&#1090;&#1077;&#1083;&#1100;&#1089;&#1082;&#1080;&#1084;%20&#1080;%20&#1072;&#1085;&#1072;&#1083;&#1080;&#1090;&#1080;&#1095;&#1077;&#1089;&#1082;&#1080;&#1084;%20&#1088;&#1072;&#1073;&#1086;&#1090;&#1072;&#1084;\&#1069;&#1090;&#1072;&#1087;%206\&#1050;&#1086;&#1087;&#1080;&#1103;%20&#1050;&#1086;&#1087;&#1080;&#1103;%20&#1057;&#1074;&#1086;&#1076;&#1085;&#1072;&#1103;%20&#1090;&#1072;&#1073;&#1083;&#1080;&#1094;&#1072;%20&#1087;&#1086;%20&#1072;&#1074;&#1090;&#1086;&#1087;&#1072;&#1088;&#1082;&#1091;%20&#1052;&#1054;&#1069;&#1057;&#1050;_v20121030_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imulka\Dropbox\&#1060;&#1057;&#1050;\&#1056;&#1072;&#1089;&#1095;&#1077;&#1090;%20&#1058;&#1057;&#1054;%20&#1101;&#1083;&#1077;&#1082;&#1090;&#1088;&#1086;&#1073;&#1091;&#1089;&#1086;&#1074;%20&#1080;%20&#1059;&#1041;&#104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imulka\Dropbox\&#1060;&#1057;&#1050;\&#1056;&#1072;&#1089;&#1095;&#1077;&#1090;%20&#1058;&#1057;&#1054;%20&#1101;&#1083;&#1077;&#1082;&#1090;&#1088;&#1086;&#1073;&#1091;&#1089;&#1086;&#1074;%20&#1080;%20&#1059;&#1041;&#1047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imulka\Dropbox\&#1060;&#1057;&#1050;\&#1056;&#1072;&#1089;&#1095;&#1077;&#1090;%20&#1058;&#1057;&#1054;%20&#1101;&#1083;&#1077;&#1082;&#1090;&#1088;&#1086;&#1073;&#1091;&#1089;&#1086;&#1074;%20&#1080;%20&#1059;&#1041;&#1047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imulka\Dropbox\&#1060;&#1057;&#1050;\&#1056;&#1072;&#1089;&#1095;&#1077;&#1090;%20&#1058;&#1057;&#1054;%20&#1101;&#1083;&#1077;&#1082;&#1090;&#1088;&#1086;&#1073;&#1091;&#1089;&#1086;&#1074;%20&#1080;%20&#1059;&#1041;&#1047;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'CAPEX+OPEX'!$A$19</c:f>
              <c:strCache>
                <c:ptCount val="1"/>
                <c:pt idx="0">
                  <c:v>АИ95</c:v>
                </c:pt>
              </c:strCache>
            </c:strRef>
          </c:tx>
          <c:marker>
            <c:symbol val="none"/>
          </c:marker>
          <c:cat>
            <c:strRef>
              <c:f>'CAPEX+OPEX'!$B$18:$J$18</c:f>
              <c:strCache>
                <c:ptCount val="9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</c:strCache>
            </c:strRef>
          </c:cat>
          <c:val>
            <c:numRef>
              <c:f>'CAPEX+OPEX'!$B$19:$J$19</c:f>
              <c:numCache>
                <c:formatCode>#,##0.00</c:formatCode>
                <c:ptCount val="9"/>
                <c:pt idx="0">
                  <c:v>32</c:v>
                </c:pt>
                <c:pt idx="1">
                  <c:v>36.479999999999997</c:v>
                </c:pt>
                <c:pt idx="2">
                  <c:v>41.587200000000003</c:v>
                </c:pt>
                <c:pt idx="3">
                  <c:v>47.409408000000013</c:v>
                </c:pt>
                <c:pt idx="4">
                  <c:v>54.046725120000019</c:v>
                </c:pt>
                <c:pt idx="5">
                  <c:v>61.613266636800027</c:v>
                </c:pt>
                <c:pt idx="6">
                  <c:v>70.239123965952103</c:v>
                </c:pt>
                <c:pt idx="7">
                  <c:v>80.072601321185175</c:v>
                </c:pt>
                <c:pt idx="8">
                  <c:v>91.282765506150795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'CAPEX+OPEX'!$A$20</c:f>
              <c:strCache>
                <c:ptCount val="1"/>
                <c:pt idx="0">
                  <c:v>АИ92</c:v>
                </c:pt>
              </c:strCache>
            </c:strRef>
          </c:tx>
          <c:marker>
            <c:symbol val="none"/>
          </c:marker>
          <c:cat>
            <c:strRef>
              <c:f>'CAPEX+OPEX'!$B$18:$J$18</c:f>
              <c:strCache>
                <c:ptCount val="9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</c:strCache>
            </c:strRef>
          </c:cat>
          <c:val>
            <c:numRef>
              <c:f>'CAPEX+OPEX'!$B$20:$J$20</c:f>
              <c:numCache>
                <c:formatCode>#,##0.00</c:formatCode>
                <c:ptCount val="9"/>
                <c:pt idx="0">
                  <c:v>30</c:v>
                </c:pt>
                <c:pt idx="1">
                  <c:v>34.200000000000003</c:v>
                </c:pt>
                <c:pt idx="2">
                  <c:v>38.988000000000007</c:v>
                </c:pt>
                <c:pt idx="3">
                  <c:v>44.446320000000007</c:v>
                </c:pt>
                <c:pt idx="4">
                  <c:v>50.668804800000032</c:v>
                </c:pt>
                <c:pt idx="5">
                  <c:v>57.762437472000038</c:v>
                </c:pt>
                <c:pt idx="6">
                  <c:v>65.849178718079727</c:v>
                </c:pt>
                <c:pt idx="7">
                  <c:v>75.068063738611272</c:v>
                </c:pt>
                <c:pt idx="8">
                  <c:v>85.577592662016855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'CAPEX+OPEX'!$A$21</c:f>
              <c:strCache>
                <c:ptCount val="1"/>
                <c:pt idx="0">
                  <c:v>ДТ</c:v>
                </c:pt>
              </c:strCache>
            </c:strRef>
          </c:tx>
          <c:marker>
            <c:symbol val="none"/>
          </c:marker>
          <c:cat>
            <c:strRef>
              <c:f>'CAPEX+OPEX'!$B$18:$J$18</c:f>
              <c:strCache>
                <c:ptCount val="9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</c:strCache>
            </c:strRef>
          </c:cat>
          <c:val>
            <c:numRef>
              <c:f>'CAPEX+OPEX'!$B$21:$J$21</c:f>
              <c:numCache>
                <c:formatCode>#,##0.00</c:formatCode>
                <c:ptCount val="9"/>
                <c:pt idx="0">
                  <c:v>31.5</c:v>
                </c:pt>
                <c:pt idx="1">
                  <c:v>35.909999999999997</c:v>
                </c:pt>
                <c:pt idx="2">
                  <c:v>40.937399999999997</c:v>
                </c:pt>
                <c:pt idx="3">
                  <c:v>46.668636000000021</c:v>
                </c:pt>
                <c:pt idx="4">
                  <c:v>53.20224504000003</c:v>
                </c:pt>
                <c:pt idx="5">
                  <c:v>60.650559345600037</c:v>
                </c:pt>
                <c:pt idx="6">
                  <c:v>69.141637653984048</c:v>
                </c:pt>
                <c:pt idx="7">
                  <c:v>78.821466925541813</c:v>
                </c:pt>
                <c:pt idx="8">
                  <c:v>89.856472295117698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219328"/>
        <c:axId val="73875456"/>
      </c:lineChart>
      <c:catAx>
        <c:axId val="54921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875456"/>
        <c:crossesAt val="1"/>
        <c:auto val="1"/>
        <c:lblAlgn val="ctr"/>
        <c:lblOffset val="100"/>
        <c:noMultiLvlLbl val="0"/>
      </c:catAx>
      <c:valAx>
        <c:axId val="73875456"/>
        <c:scaling>
          <c:orientation val="minMax"/>
          <c:min val="1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4921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'CAPEX+OPEX'!$A$27</c:f>
              <c:strCache>
                <c:ptCount val="1"/>
                <c:pt idx="0">
                  <c:v>э/э</c:v>
                </c:pt>
              </c:strCache>
            </c:strRef>
          </c:tx>
          <c:cat>
            <c:strRef>
              <c:f>'CAPEX+OPEX'!$B$26:$K$26</c:f>
              <c:strCache>
                <c:ptCount val="10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  <c:pt idx="9">
                  <c:v>2021 г.</c:v>
                </c:pt>
              </c:strCache>
            </c:strRef>
          </c:cat>
          <c:val>
            <c:numRef>
              <c:f>'CAPEX+OPEX'!$B$27:$K$27</c:f>
              <c:numCache>
                <c:formatCode>#,##0.00"р."</c:formatCode>
                <c:ptCount val="10"/>
                <c:pt idx="0">
                  <c:v>2.16</c:v>
                </c:pt>
                <c:pt idx="1">
                  <c:v>2.27</c:v>
                </c:pt>
                <c:pt idx="2">
                  <c:v>2.4</c:v>
                </c:pt>
                <c:pt idx="3">
                  <c:v>2.54</c:v>
                </c:pt>
                <c:pt idx="4">
                  <c:v>2.62</c:v>
                </c:pt>
                <c:pt idx="5">
                  <c:v>2.7</c:v>
                </c:pt>
                <c:pt idx="6">
                  <c:v>2.66</c:v>
                </c:pt>
                <c:pt idx="7">
                  <c:v>2.75</c:v>
                </c:pt>
                <c:pt idx="8">
                  <c:v>2.82</c:v>
                </c:pt>
                <c:pt idx="9">
                  <c:v>2.89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9969152"/>
        <c:axId val="73877184"/>
      </c:lineChart>
      <c:catAx>
        <c:axId val="60996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3877184"/>
        <c:crosses val="autoZero"/>
        <c:auto val="1"/>
        <c:lblAlgn val="ctr"/>
        <c:lblOffset val="100"/>
        <c:noMultiLvlLbl val="0"/>
      </c:catAx>
      <c:valAx>
        <c:axId val="73877184"/>
        <c:scaling>
          <c:orientation val="minMax"/>
          <c:min val="2"/>
        </c:scaling>
        <c:delete val="0"/>
        <c:axPos val="l"/>
        <c:majorGridlines/>
        <c:numFmt formatCode="#,##0.00&quot;р.&quot;" sourceLinked="1"/>
        <c:majorTickMark val="out"/>
        <c:minorTickMark val="none"/>
        <c:tickLblPos val="nextTo"/>
        <c:crossAx val="6099691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38516328697099"/>
          <c:y val="2.6268861147377798E-2"/>
          <c:w val="0.84051730861278695"/>
          <c:h val="0.655537663220697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'CAPEX+OPEX'!$B$25</c:f>
              <c:strCache>
                <c:ptCount val="1"/>
                <c:pt idx="0">
                  <c:v>Кап. затраты</c:v>
                </c:pt>
              </c:strCache>
            </c:strRef>
          </c:tx>
          <c:invertIfNegative val="0"/>
          <c:cat>
            <c:strRef>
              <c:f>'CAPEX+OPEX'!$A$30:$A$31</c:f>
              <c:strCache>
                <c:ptCount val="2"/>
                <c:pt idx="0">
                  <c:v>ЛиАЗ-6724</c:v>
                </c:pt>
                <c:pt idx="1">
                  <c:v>ЛиАЗ-525625</c:v>
                </c:pt>
              </c:strCache>
            </c:strRef>
          </c:cat>
          <c:val>
            <c:numRef>
              <c:f>'CAPEX+OPEX'!$B$30:$B$31</c:f>
              <c:numCache>
                <c:formatCode>#,##0</c:formatCode>
                <c:ptCount val="2"/>
                <c:pt idx="0">
                  <c:v>12500000</c:v>
                </c:pt>
                <c:pt idx="1">
                  <c:v>6274000</c:v>
                </c:pt>
              </c:numCache>
            </c:numRef>
          </c:val>
        </c:ser>
        <c:ser>
          <c:idx val="1"/>
          <c:order val="1"/>
          <c:tx>
            <c:strRef>
              <c:f>'CAPEX+OPEX'!$C$25</c:f>
              <c:strCache>
                <c:ptCount val="1"/>
                <c:pt idx="0">
                  <c:v>Затраты на топливо (э/э)</c:v>
                </c:pt>
              </c:strCache>
            </c:strRef>
          </c:tx>
          <c:invertIfNegative val="0"/>
          <c:cat>
            <c:strRef>
              <c:f>'CAPEX+OPEX'!$A$30:$A$31</c:f>
              <c:strCache>
                <c:ptCount val="2"/>
                <c:pt idx="0">
                  <c:v>ЛиАЗ-6724</c:v>
                </c:pt>
                <c:pt idx="1">
                  <c:v>ЛиАЗ-525625</c:v>
                </c:pt>
              </c:strCache>
            </c:strRef>
          </c:cat>
          <c:val>
            <c:numRef>
              <c:f>'CAPEX+OPEX'!$C$30:$C$31</c:f>
              <c:numCache>
                <c:formatCode>#,##0</c:formatCode>
                <c:ptCount val="2"/>
                <c:pt idx="0">
                  <c:v>7210210</c:v>
                </c:pt>
                <c:pt idx="1">
                  <c:v>16689626.989566401</c:v>
                </c:pt>
              </c:numCache>
            </c:numRef>
          </c:val>
        </c:ser>
        <c:ser>
          <c:idx val="2"/>
          <c:order val="2"/>
          <c:tx>
            <c:strRef>
              <c:f>'CAPEX+OPEX'!$D$25</c:f>
              <c:strCache>
                <c:ptCount val="1"/>
                <c:pt idx="0">
                  <c:v>Затраты на обслуживание и ремонт</c:v>
                </c:pt>
              </c:strCache>
            </c:strRef>
          </c:tx>
          <c:invertIfNegative val="0"/>
          <c:cat>
            <c:strRef>
              <c:f>'CAPEX+OPEX'!$A$30:$A$31</c:f>
              <c:strCache>
                <c:ptCount val="2"/>
                <c:pt idx="0">
                  <c:v>ЛиАЗ-6724</c:v>
                </c:pt>
                <c:pt idx="1">
                  <c:v>ЛиАЗ-525625</c:v>
                </c:pt>
              </c:strCache>
            </c:strRef>
          </c:cat>
          <c:val>
            <c:numRef>
              <c:f>'CAPEX+OPEX'!$D$30:$D$31</c:f>
              <c:numCache>
                <c:formatCode>#,##0</c:formatCode>
                <c:ptCount val="2"/>
                <c:pt idx="0">
                  <c:v>5382203.3898305101</c:v>
                </c:pt>
                <c:pt idx="1">
                  <c:v>5382203.3898305101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9970176"/>
        <c:axId val="73878912"/>
        <c:axId val="0"/>
      </c:bar3DChart>
      <c:catAx>
        <c:axId val="609970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ru-RU"/>
          </a:p>
        </c:txPr>
        <c:crossAx val="73878912"/>
        <c:crosses val="autoZero"/>
        <c:auto val="1"/>
        <c:lblAlgn val="ctr"/>
        <c:lblOffset val="100"/>
        <c:noMultiLvlLbl val="0"/>
      </c:catAx>
      <c:valAx>
        <c:axId val="738789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-2460000"/>
          <a:lstStyle/>
          <a:p>
            <a:pPr>
              <a:defRPr/>
            </a:pPr>
            <a:endParaRPr lang="ru-RU"/>
          </a:p>
        </c:txPr>
        <c:crossAx val="609970176"/>
        <c:crosses val="autoZero"/>
        <c:crossBetween val="between"/>
        <c:dispUnits>
          <c:builtInUnit val="thousands"/>
          <c:dispUnitsLbl/>
        </c:dispUnits>
      </c:valAx>
    </c:plotArea>
    <c:legend>
      <c:legendPos val="r"/>
      <c:layout>
        <c:manualLayout>
          <c:xMode val="edge"/>
          <c:yMode val="edge"/>
          <c:x val="7.3770942819319701E-2"/>
          <c:y val="0.89866930166741799"/>
          <c:w val="0.87484694311568401"/>
          <c:h val="9.9805882096056994E-2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67203031031001"/>
          <c:y val="2.6268861147377798E-2"/>
          <c:w val="0.85021546655124003"/>
          <c:h val="0.6521174594153610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'CAPEX+OPEX'!$B$25</c:f>
              <c:strCache>
                <c:ptCount val="1"/>
                <c:pt idx="0">
                  <c:v>Кап. затраты</c:v>
                </c:pt>
              </c:strCache>
            </c:strRef>
          </c:tx>
          <c:invertIfNegative val="0"/>
          <c:cat>
            <c:strRef>
              <c:f>'CAPEX+OPEX'!$A$32:$A$33</c:f>
              <c:strCache>
                <c:ptCount val="2"/>
                <c:pt idx="0">
                  <c:v>ЛиАЗ-6724</c:v>
                </c:pt>
                <c:pt idx="1">
                  <c:v>Троллейбус ЛиАЗ-52803</c:v>
                </c:pt>
              </c:strCache>
            </c:strRef>
          </c:cat>
          <c:val>
            <c:numRef>
              <c:f>'CAPEX+OPEX'!$B$32:$B$33</c:f>
              <c:numCache>
                <c:formatCode>#,##0</c:formatCode>
                <c:ptCount val="2"/>
                <c:pt idx="0">
                  <c:v>12500000</c:v>
                </c:pt>
                <c:pt idx="1">
                  <c:v>8900000</c:v>
                </c:pt>
              </c:numCache>
            </c:numRef>
          </c:val>
        </c:ser>
        <c:ser>
          <c:idx val="1"/>
          <c:order val="1"/>
          <c:tx>
            <c:strRef>
              <c:f>'CAPEX+OPEX'!$C$25</c:f>
              <c:strCache>
                <c:ptCount val="1"/>
                <c:pt idx="0">
                  <c:v>Затраты на топливо (э/э)</c:v>
                </c:pt>
              </c:strCache>
            </c:strRef>
          </c:tx>
          <c:invertIfNegative val="0"/>
          <c:cat>
            <c:strRef>
              <c:f>'CAPEX+OPEX'!$A$32:$A$33</c:f>
              <c:strCache>
                <c:ptCount val="2"/>
                <c:pt idx="0">
                  <c:v>ЛиАЗ-6724</c:v>
                </c:pt>
                <c:pt idx="1">
                  <c:v>Троллейбус ЛиАЗ-52803</c:v>
                </c:pt>
              </c:strCache>
            </c:strRef>
          </c:cat>
          <c:val>
            <c:numRef>
              <c:f>'CAPEX+OPEX'!$C$32:$C$33</c:f>
              <c:numCache>
                <c:formatCode>#,##0</c:formatCode>
                <c:ptCount val="2"/>
                <c:pt idx="0">
                  <c:v>6695195</c:v>
                </c:pt>
                <c:pt idx="1">
                  <c:v>3879885.96491228</c:v>
                </c:pt>
              </c:numCache>
            </c:numRef>
          </c:val>
        </c:ser>
        <c:ser>
          <c:idx val="2"/>
          <c:order val="2"/>
          <c:tx>
            <c:strRef>
              <c:f>'CAPEX+OPEX'!$D$25</c:f>
              <c:strCache>
                <c:ptCount val="1"/>
                <c:pt idx="0">
                  <c:v>Затраты на обслуживание и ремонт</c:v>
                </c:pt>
              </c:strCache>
            </c:strRef>
          </c:tx>
          <c:invertIfNegative val="0"/>
          <c:cat>
            <c:strRef>
              <c:f>'CAPEX+OPEX'!$A$32:$A$33</c:f>
              <c:strCache>
                <c:ptCount val="2"/>
                <c:pt idx="0">
                  <c:v>ЛиАЗ-6724</c:v>
                </c:pt>
                <c:pt idx="1">
                  <c:v>Троллейбус ЛиАЗ-52803</c:v>
                </c:pt>
              </c:strCache>
            </c:strRef>
          </c:cat>
          <c:val>
            <c:numRef>
              <c:f>'CAPEX+OPEX'!$D$32:$D$33</c:f>
              <c:numCache>
                <c:formatCode>#,##0</c:formatCode>
                <c:ptCount val="2"/>
                <c:pt idx="0">
                  <c:v>5382203.3898305101</c:v>
                </c:pt>
                <c:pt idx="1">
                  <c:v>18009969.0808478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9971712"/>
        <c:axId val="73880640"/>
        <c:axId val="0"/>
      </c:bar3DChart>
      <c:catAx>
        <c:axId val="609971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ru-RU"/>
          </a:p>
        </c:txPr>
        <c:crossAx val="73880640"/>
        <c:crosses val="autoZero"/>
        <c:auto val="1"/>
        <c:lblAlgn val="ctr"/>
        <c:lblOffset val="100"/>
        <c:noMultiLvlLbl val="0"/>
      </c:catAx>
      <c:valAx>
        <c:axId val="73880640"/>
        <c:scaling>
          <c:orientation val="minMax"/>
          <c:max val="30000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-2160000"/>
          <a:lstStyle/>
          <a:p>
            <a:pPr>
              <a:defRPr/>
            </a:pPr>
            <a:endParaRPr lang="ru-RU"/>
          </a:p>
        </c:txPr>
        <c:crossAx val="609971712"/>
        <c:crosses val="autoZero"/>
        <c:crossBetween val="between"/>
        <c:dispUnits>
          <c:builtInUnit val="thousands"/>
          <c:dispUnitsLbl/>
        </c:dispUnits>
      </c:valAx>
    </c:plotArea>
    <c:legend>
      <c:legendPos val="r"/>
      <c:layout>
        <c:manualLayout>
          <c:xMode val="edge"/>
          <c:yMode val="edge"/>
          <c:x val="6.6926795276753895E-2"/>
          <c:y val="0.90096523149972996"/>
          <c:w val="0.85802802105114295"/>
          <c:h val="9.5519907382749597E-2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717178678400101"/>
          <c:y val="4.9839364900025003E-2"/>
          <c:w val="0.85021546655124003"/>
          <c:h val="0.6487532521486849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'CAPEX+OPEX'!$B$25</c:f>
              <c:strCache>
                <c:ptCount val="1"/>
                <c:pt idx="0">
                  <c:v>Кап. затраты</c:v>
                </c:pt>
              </c:strCache>
            </c:strRef>
          </c:tx>
          <c:invertIfNegative val="0"/>
          <c:cat>
            <c:strRef>
              <c:f>'CAPEX+OPEX'!$A$34:$A$35</c:f>
              <c:strCache>
                <c:ptCount val="2"/>
                <c:pt idx="0">
                  <c:v>ЛиАЗ-6724</c:v>
                </c:pt>
                <c:pt idx="1">
                  <c:v>Трамвай</c:v>
                </c:pt>
              </c:strCache>
            </c:strRef>
          </c:cat>
          <c:val>
            <c:numRef>
              <c:f>'CAPEX+OPEX'!$B$34:$B$35</c:f>
              <c:numCache>
                <c:formatCode>#,##0</c:formatCode>
                <c:ptCount val="2"/>
                <c:pt idx="0">
                  <c:v>12500000</c:v>
                </c:pt>
                <c:pt idx="1">
                  <c:v>40000000</c:v>
                </c:pt>
              </c:numCache>
            </c:numRef>
          </c:val>
        </c:ser>
        <c:ser>
          <c:idx val="1"/>
          <c:order val="1"/>
          <c:tx>
            <c:strRef>
              <c:f>'CAPEX+OPEX'!$C$25</c:f>
              <c:strCache>
                <c:ptCount val="1"/>
                <c:pt idx="0">
                  <c:v>Затраты на топливо (э/э)</c:v>
                </c:pt>
              </c:strCache>
            </c:strRef>
          </c:tx>
          <c:invertIfNegative val="0"/>
          <c:cat>
            <c:strRef>
              <c:f>'CAPEX+OPEX'!$A$34:$A$35</c:f>
              <c:strCache>
                <c:ptCount val="2"/>
                <c:pt idx="0">
                  <c:v>ЛиАЗ-6724</c:v>
                </c:pt>
                <c:pt idx="1">
                  <c:v>Трамвай</c:v>
                </c:pt>
              </c:strCache>
            </c:strRef>
          </c:cat>
          <c:val>
            <c:numRef>
              <c:f>'CAPEX+OPEX'!$C$34:$C$35</c:f>
              <c:numCache>
                <c:formatCode>#,##0</c:formatCode>
                <c:ptCount val="2"/>
                <c:pt idx="0">
                  <c:v>6695195</c:v>
                </c:pt>
                <c:pt idx="1">
                  <c:v>3146085.1726089399</c:v>
                </c:pt>
              </c:numCache>
            </c:numRef>
          </c:val>
        </c:ser>
        <c:ser>
          <c:idx val="2"/>
          <c:order val="2"/>
          <c:tx>
            <c:strRef>
              <c:f>'CAPEX+OPEX'!$D$25</c:f>
              <c:strCache>
                <c:ptCount val="1"/>
                <c:pt idx="0">
                  <c:v>Затраты на обслуживание и ремонт</c:v>
                </c:pt>
              </c:strCache>
            </c:strRef>
          </c:tx>
          <c:invertIfNegative val="0"/>
          <c:cat>
            <c:strRef>
              <c:f>'CAPEX+OPEX'!$A$34:$A$35</c:f>
              <c:strCache>
                <c:ptCount val="2"/>
                <c:pt idx="0">
                  <c:v>ЛиАЗ-6724</c:v>
                </c:pt>
                <c:pt idx="1">
                  <c:v>Трамвай</c:v>
                </c:pt>
              </c:strCache>
            </c:strRef>
          </c:cat>
          <c:val>
            <c:numRef>
              <c:f>'CAPEX+OPEX'!$D$34:$D$35</c:f>
              <c:numCache>
                <c:formatCode>#,##0</c:formatCode>
                <c:ptCount val="2"/>
                <c:pt idx="0">
                  <c:v>5382203.3898305101</c:v>
                </c:pt>
                <c:pt idx="1">
                  <c:v>24277938.03362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4485504"/>
        <c:axId val="73879488"/>
        <c:axId val="0"/>
      </c:bar3DChart>
      <c:catAx>
        <c:axId val="574485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 sz="800" b="0"/>
            </a:pPr>
            <a:endParaRPr lang="ru-RU"/>
          </a:p>
        </c:txPr>
        <c:crossAx val="73879488"/>
        <c:crosses val="autoZero"/>
        <c:auto val="1"/>
        <c:lblAlgn val="ctr"/>
        <c:lblOffset val="100"/>
        <c:noMultiLvlLbl val="0"/>
      </c:catAx>
      <c:valAx>
        <c:axId val="738794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ru-RU"/>
          </a:p>
        </c:txPr>
        <c:crossAx val="574485504"/>
        <c:crosses val="autoZero"/>
        <c:crossBetween val="between"/>
        <c:dispUnits>
          <c:builtInUnit val="thousands"/>
          <c:dispUnitsLbl/>
        </c:dispUnits>
      </c:valAx>
    </c:plotArea>
    <c:legend>
      <c:legendPos val="r"/>
      <c:layout>
        <c:manualLayout>
          <c:xMode val="edge"/>
          <c:yMode val="edge"/>
          <c:x val="8.9057932288484007E-2"/>
          <c:y val="0.90026131954319"/>
          <c:w val="0.88170912078882502"/>
          <c:h val="9.8086529270312695E-2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317050450762"/>
          <c:y val="2.6268861147377798E-2"/>
          <c:w val="0.89362208843554503"/>
          <c:h val="0.88234063621304304"/>
        </c:manualLayout>
      </c:layout>
      <c:lineChart>
        <c:grouping val="standard"/>
        <c:varyColors val="0"/>
        <c:ser>
          <c:idx val="1"/>
          <c:order val="0"/>
          <c:tx>
            <c:strRef>
              <c:f>'Доход от зарядки'!$A$24</c:f>
              <c:strCache>
                <c:ptCount val="1"/>
                <c:pt idx="0">
                  <c:v>Финансовый результат по годам, млн. руб. без НДС</c:v>
                </c:pt>
              </c:strCache>
            </c:strRef>
          </c:tx>
          <c:val>
            <c:numRef>
              <c:f>'Доход от зарядки'!$B$24:$K$24</c:f>
              <c:numCache>
                <c:formatCode>#,##0</c:formatCode>
                <c:ptCount val="10"/>
                <c:pt idx="0" formatCode="#,##0.00">
                  <c:v>-6367240</c:v>
                </c:pt>
                <c:pt idx="1">
                  <c:v>-4237730</c:v>
                </c:pt>
                <c:pt idx="2">
                  <c:v>-2114901.6700960202</c:v>
                </c:pt>
                <c:pt idx="3">
                  <c:v>-2567.0505780731328</c:v>
                </c:pt>
                <c:pt idx="4">
                  <c:v>2094846.43908805</c:v>
                </c:pt>
                <c:pt idx="5">
                  <c:v>4172000.5215469101</c:v>
                </c:pt>
                <c:pt idx="6">
                  <c:v>6222257.5880659902</c:v>
                </c:pt>
                <c:pt idx="7">
                  <c:v>8237153.36310816</c:v>
                </c:pt>
                <c:pt idx="8">
                  <c:v>10205664.0487468</c:v>
                </c:pt>
                <c:pt idx="9">
                  <c:v>12113169.042753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4781056"/>
        <c:axId val="574753024"/>
      </c:lineChart>
      <c:catAx>
        <c:axId val="60478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574753024"/>
        <c:crosses val="autoZero"/>
        <c:auto val="1"/>
        <c:lblAlgn val="ctr"/>
        <c:lblOffset val="100"/>
        <c:noMultiLvlLbl val="0"/>
      </c:catAx>
      <c:valAx>
        <c:axId val="574753024"/>
        <c:scaling>
          <c:orientation val="minMax"/>
          <c:min val="-800000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604781056"/>
        <c:crosses val="autoZero"/>
        <c:crossBetween val="between"/>
        <c:majorUnit val="2000000"/>
        <c:dispUnits>
          <c:builtInUnit val="millions"/>
          <c:dispUnitsLbl/>
        </c:dispUnits>
      </c:valAx>
    </c:plotArea>
    <c:legend>
      <c:legendPos val="r"/>
      <c:layout>
        <c:manualLayout>
          <c:xMode val="edge"/>
          <c:yMode val="edge"/>
          <c:x val="0.16354034143022"/>
          <c:y val="0.92813460236974998"/>
          <c:w val="0.64796263235566198"/>
          <c:h val="6.1408556541631999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Головченко Ю.А. (026)</cp:lastModifiedBy>
  <cp:revision>2</cp:revision>
  <dcterms:created xsi:type="dcterms:W3CDTF">2015-05-26T11:41:00Z</dcterms:created>
  <dcterms:modified xsi:type="dcterms:W3CDTF">2015-05-26T11:41:00Z</dcterms:modified>
</cp:coreProperties>
</file>